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  <w:t>Konfiguracja narzędzia CI/CD</w:t>
      </w:r>
    </w:p>
    <w:p>
      <w:pPr>
        <w:pStyle w:val="Normal1"/>
        <w:rPr/>
      </w:pPr>
      <w:r>
        <w:rPr/>
        <w:t>Nasze akcje githuba są podzielone na 2 “workflows”. Workflow Client-CI odpowiada za continuous integration przeglądarkowego klienta, natomiast Server-CI odpowiada za continuous integration serwera.</w:t>
      </w:r>
    </w:p>
    <w:p>
      <w:pPr>
        <w:pStyle w:val="Normal1"/>
        <w:rPr/>
      </w:pPr>
      <w:r>
        <w:rPr/>
        <w:t>Jeśli dokonamy zmian lub utworzymy pull request na branch main lub dev to zostaną uruchomione odpowiednie akcje githuba, jeśli zmodyfikowaliśmy coś w folderze “frontend” to zostanie uruchomiony Client-CI a jeśli w “backend” to Server-CI.</w:t>
      </w:r>
    </w:p>
    <w:p>
      <w:pPr>
        <w:pStyle w:val="Normal1"/>
        <w:rPr/>
      </w:pPr>
      <w:r>
        <w:rPr/>
        <w:t xml:space="preserve">Obie akcje składają się z kilku podzadań które przygotowują środowisko a następnie uruchamiają testy.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74</Words>
  <Characters>493</Characters>
  <CharactersWithSpaces>564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2022-01-20T00:12:56Z</dcterms:modified>
  <cp:revision>1</cp:revision>
  <dc:subject/>
  <dc:title/>
</cp:coreProperties>
</file>