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471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uper-clab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71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rFonts w:ascii="Calibri" w:hAnsi="Calibri" w:eastAsia="Calibri"/>
          <w:b/>
          <w:color w:val="0E3B43"/>
          <w:sz w:val="44"/>
        </w:rPr>
        <w:t>DOCUMENTACIÓN TÉCNICA Y OPERATIVA</w:t>
      </w:r>
    </w:p>
    <w:p>
      <w:pPr>
        <w:jc w:val="center"/>
      </w:pPr>
      <w:r>
        <w:rPr>
          <w:rFonts w:ascii="Calibri" w:hAnsi="Calibri" w:eastAsia="Calibri"/>
          <w:b w:val="0"/>
          <w:color w:val="2A8D92"/>
          <w:sz w:val="28"/>
        </w:rPr>
        <w:t>Sistema completo de cobros y pagos SPEI / CoDi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/>
                <w:color w:val="2A8D92"/>
                <w:sz w:val="22"/>
              </w:rPr>
              <w:t>Producto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22"/>
              </w:rPr>
              <w:t>Súper CLABE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/>
                <w:color w:val="2A8D92"/>
                <w:sz w:val="22"/>
              </w:rPr>
              <w:t>Modelo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22"/>
              </w:rPr>
              <w:t>PSPI · capa no-custodia · sin captación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/>
                <w:color w:val="2A8D92"/>
                <w:sz w:val="22"/>
              </w:rPr>
              <w:t>Versión del documento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22"/>
              </w:rPr>
              <w:t>2.0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/>
                <w:color w:val="2A8D92"/>
                <w:sz w:val="22"/>
              </w:rPr>
              <w:t>Fecha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22"/>
              </w:rPr>
              <w:t>Agosto 2026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/>
                <w:color w:val="2A8D92"/>
                <w:sz w:val="22"/>
              </w:rPr>
              <w:t>Clasificación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22"/>
              </w:rPr>
              <w:t>Confidencial — uso interno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/>
                <w:color w:val="2A8D92"/>
                <w:sz w:val="22"/>
              </w:rPr>
              <w:t>Código fuente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22"/>
              </w:rPr>
              <w:t>webapp-spei-codi/</w:t>
            </w:r>
          </w:p>
        </w:tc>
      </w:tr>
    </w:tbl>
    <w:p/>
    <w:p>
      <w:pPr>
        <w:spacing w:before="720"/>
        <w:jc w:val="center"/>
      </w:pPr>
      <w:r>
        <w:rPr>
          <w:rFonts w:ascii="Calibri" w:hAnsi="Calibri" w:eastAsia="Calibri"/>
          <w:b w:val="0"/>
          <w:color w:val="5A6B6C"/>
          <w:sz w:val="20"/>
        </w:rPr>
        <w:t>Circular 14/2017 (SPEI)  ·  Circular 12/2019 (CoDi)</w:t>
        <w:br/>
        <w:t>Reglas 58a · 71a · 72a  ·  Modelo PSPI sin captación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Índice general</w:t>
      </w:r>
    </w:p>
    <w:p>
      <w:pPr>
        <w:spacing w:after="160" w:line="240" w:lineRule="auto"/>
        <w:jc w:val="left"/>
      </w:pPr>
      <w:r>
        <w:rPr>
          <w:rFonts w:ascii="Calibri" w:hAnsi="Calibri" w:eastAsia="Calibri"/>
          <w:b w:val="0"/>
          <w:color w:val="5A6B6C"/>
          <w:sz w:val="20"/>
        </w:rPr>
        <w:t>Este índice se genera automáticamente con campos de Word. Al abrir el archivo, seleccione el índice, haga clic derecho y elija «Actualizar campos» → «Actualizar toda la tabla» para refrescar títulos y números de página.</w:t>
      </w:r>
    </w:p>
    <w:p>
      <w:r>
        <w:fldChar w:fldCharType="begin"/>
      </w:r>
      <w:r>
        <w:rPr>
          <w:rFonts w:ascii="Calibri" w:hAnsi="Calibri" w:eastAsia="Calibri"/>
          <w:b w:val="0"/>
          <w:color w:val="5A6B6C"/>
          <w:sz w:val="20"/>
        </w:rPr>
        <w:t>Haga clic derecho aquí → Actualizar campos → Actualizar toda la tabla</w:t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Contenido del documento (guía)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1. Resumen ejecutivo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2. Modelo regulatorio y de negocio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3. Principio de no-custodia (puente CoDi)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4. Arquitectura del sistema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5. Stack tecnológico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6. Módulos funcionales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7. Modelo de datos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8. API REST completa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9. Flujos operativos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10. Tarifas, membresía e IVA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11. Perfil Financiero y límites KYC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12. Seguridad y controles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13. Frontend y experiencia de usuario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14. Notificaciones y favoritos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15. Auditoría y cumplimiento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16. Despliegue y operación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17. Datos demo y pruebas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18. Estado actual vs producción Banxico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19. Glosario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20. Referencias normativas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Anexos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1. Resumen ejecutivo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2"/>
        </w:rPr>
        <w:t>Súper CLABE es una plataforma web fullstack de cobranza y pagos que opera como capa de software no-custodia sobre los rieles del Banco de México (SPEI, CoDi y Dimo). El dinero nunca entra a una cuenta de la plataforma: viaja cuenta bancaria del pagador → cuenta bancaria del cobrador. Súper CLABE actúa como puente / iniciador de pagos (figura PSPI): genera el Mensaje de Cobro, orquesta la UX, aplica controles de perfil financiero y registra la liquidación.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2"/>
        </w:rPr>
        <w:t>La monetización es una membresía prepago de software: se debita 0.05% + I.V.A. 16% del saldo de membresía del receptor al liquidar una operación. No hay wallet de fondos de clientes ni captación (evita clasificación como IFPE).</w:t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1.1 Capacidades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Capacidad</w:t>
            </w:r>
          </w:p>
        </w:tc>
        <w:tc>
          <w:tcPr>
            <w:tcW w:type="dxa" w:w="6236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Registro / login por alias $@…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Identidad única en la plataforma</w:t>
            </w:r>
          </w:p>
        </w:tc>
      </w:tr>
      <w:tr>
        <w:tc>
          <w:tcPr>
            <w:tcW w:type="dxa" w:w="311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Perfil Financiero (KYC 1–4)</w:t>
            </w:r>
          </w:p>
        </w:tc>
        <w:tc>
          <w:tcPr>
            <w:tcW w:type="dxa" w:w="6236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Topes mensuales de abonos recibidos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Mis cuentas (bóveda)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CLABE destino cifrada AES-256</w:t>
            </w:r>
          </w:p>
        </w:tc>
      </w:tr>
      <w:tr>
        <w:tc>
          <w:tcPr>
            <w:tcW w:type="dxa" w:w="311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Cobrar (CoDi)</w:t>
            </w:r>
          </w:p>
        </w:tc>
        <w:tc>
          <w:tcPr>
            <w:tcW w:type="dxa" w:w="6236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QR / folio con monto fijo o libre, abierto o dirigido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Pagar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Inbox, lector QR, pago directo P2P</w:t>
            </w:r>
          </w:p>
        </w:tc>
      </w:tr>
      <w:tr>
        <w:tc>
          <w:tcPr>
            <w:tcW w:type="dxa" w:w="311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Favoritos</w:t>
            </w:r>
          </w:p>
        </w:tc>
        <w:tc>
          <w:tcPr>
            <w:tcW w:type="dxa" w:w="6236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Contactos frecuentes para cobrar/pagar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Membresía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Recarga, simulador de tarifa, bloqueo por saldo</w:t>
            </w:r>
          </w:p>
        </w:tc>
      </w:tr>
      <w:tr>
        <w:tc>
          <w:tcPr>
            <w:tcW w:type="dxa" w:w="311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Notificaciones in-app</w:t>
            </w:r>
          </w:p>
        </w:tc>
        <w:tc>
          <w:tcPr>
            <w:tcW w:type="dxa" w:w="6236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Eventos de cobro, pago, bóveda, KYC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Bitácora inmutable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Hash SHA-256 encadenado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2. Modelo regulatorio y de negocio</w:t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2.1 Figura y marco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7087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Figura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PSPI / iniciador de pagos, patrocinado por participante SPEI directo</w:t>
            </w:r>
          </w:p>
        </w:tc>
      </w:tr>
      <w:tr>
        <w:tc>
          <w:tcPr>
            <w:tcW w:type="dxa" w:w="226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Marco</w:t>
            </w:r>
          </w:p>
        </w:tc>
        <w:tc>
          <w:tcPr>
            <w:tcW w:type="dxa" w:w="708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Circular 14/2017, Circular 12/2019, Ley Fintech, LTOSF, Circular 9/2026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Custodia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Sin captación: no depósitos, no wallets de cliente, no crédito</w:t>
            </w:r>
          </w:p>
        </w:tc>
      </w:tr>
      <w:tr>
        <w:tc>
          <w:tcPr>
            <w:tcW w:type="dxa" w:w="226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Monetización</w:t>
            </w:r>
          </w:p>
        </w:tc>
        <w:tc>
          <w:tcPr>
            <w:tcW w:type="dxa" w:w="708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Membresía prepago; tarifa software 0.05% + IVA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Bloqueo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Membresía blocked → no opera hasta recargar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2.2 Reglas aplicadas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Regla / circular</w:t>
            </w:r>
          </w:p>
        </w:tc>
        <w:tc>
          <w:tcPr>
            <w:tcW w:type="dxa" w:w="6803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Implementación en Súper CLABE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Regla 58a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Bóveda AES-256, bitácora hash encadenada, retención ≥6 meses / 1 año</w:t>
            </w:r>
          </w:p>
        </w:tc>
      </w:tr>
      <w:tr>
        <w:tc>
          <w:tcPr>
            <w:tcW w:type="dxa" w:w="255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Regla 71a</w:t>
            </w:r>
          </w:p>
        </w:tc>
        <w:tc>
          <w:tcPr>
            <w:tcW w:type="dxa" w:w="6803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JWT 20 min, TOTP opcional, CLABE/nombre enmascarados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Regla 72a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Niveles KYC 1–4; tope de abonos mensuales del receptor</w:t>
            </w:r>
          </w:p>
        </w:tc>
      </w:tr>
      <w:tr>
        <w:tc>
          <w:tcPr>
            <w:tcW w:type="dxa" w:w="255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Apéndice AD</w:t>
            </w:r>
          </w:p>
        </w:tc>
        <w:tc>
          <w:tcPr>
            <w:tcW w:type="dxa" w:w="6803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Generación de cobro + qr_payload tipo CODI_CHARGE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Apéndice 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Vínculo a CEP Banxico por folio/clave</w:t>
            </w:r>
          </w:p>
        </w:tc>
      </w:tr>
      <w:tr>
        <w:tc>
          <w:tcPr>
            <w:tcW w:type="dxa" w:w="255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Manual SPEI §6</w:t>
            </w:r>
          </w:p>
        </w:tc>
        <w:tc>
          <w:tcPr>
            <w:tcW w:type="dxa" w:w="6803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Validación CLABE dígito verificador mod-10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2.3 Qué es y qué no 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Es</w:t>
            </w:r>
          </w:p>
        </w:tc>
        <w:tc>
          <w:tcPr>
            <w:tcW w:type="dxa" w:w="4819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 es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Orquestador de cobros/pagos CoDi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Banco ni IFPE</w:t>
            </w:r>
          </w:p>
        </w:tc>
      </w:tr>
      <w:tr>
        <w:tc>
          <w:tcPr>
            <w:tcW w:type="dxa" w:w="453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Almacén cifrado de CLABE destino</w:t>
            </w:r>
          </w:p>
        </w:tc>
        <w:tc>
          <w:tcPr>
            <w:tcW w:type="dxa" w:w="4819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Wallet con saldo de clientes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Capa UX + cumplimiento + auditoría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Participante SPEI directo (requiere patrocinio)</w:t>
            </w:r>
          </w:p>
        </w:tc>
      </w:tr>
      <w:tr>
        <w:tc>
          <w:tcPr>
            <w:tcW w:type="dxa" w:w="453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Cobro de licencia de software</w:t>
            </w:r>
          </w:p>
        </w:tc>
        <w:tc>
          <w:tcPr>
            <w:tcW w:type="dxa" w:w="4819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Captador de fondos del público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3. Principio de no-custodia (puente CoDi)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2"/>
        </w:rPr>
        <w:t>Súper CLABE solo arma el mensaje y la experiencia. La liquidación real (en producción) la ejecutan los bancos del pagador y del beneficiario a través de Banxico.</w:t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3.1 Diagrama conceptual del puente</w:t>
      </w:r>
    </w:p>
    <w:p>
      <w:pPr>
        <w:spacing w:after="80" w:line="240" w:lineRule="auto"/>
        <w:jc w:val="left"/>
      </w:pPr>
      <w:r>
        <w:rPr>
          <w:rFonts w:ascii="Calibri" w:hAnsi="Calibri" w:eastAsia="Calibri"/>
          <w:b/>
          <w:color w:val="2A8D92"/>
          <w:sz w:val="22"/>
        </w:rPr>
        <w:t>Flujo de dinero vs flujo de la app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1. </w:t>
      </w:r>
      <w:r>
        <w:rPr>
          <w:rFonts w:ascii="Calibri" w:hAnsi="Calibri" w:eastAsia="Calibri"/>
          <w:b w:val="0"/>
          <w:color w:val="0E3B43"/>
          <w:sz w:val="20"/>
        </w:rPr>
        <w:t>El cobrador registra su CLABE destino en Mis cuentas (bóveda cifrada).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2. </w:t>
      </w:r>
      <w:r>
        <w:rPr>
          <w:rFonts w:ascii="Calibri" w:hAnsi="Calibri" w:eastAsia="Calibri"/>
          <w:b w:val="0"/>
          <w:color w:val="0E3B43"/>
          <w:sz w:val="20"/>
        </w:rPr>
        <w:t>Súper CLABE genera el Mensaje de Cobro CoDi (folio + QR).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3. </w:t>
      </w:r>
      <w:r>
        <w:rPr>
          <w:rFonts w:ascii="Calibri" w:hAnsi="Calibri" w:eastAsia="Calibri"/>
          <w:b w:val="0"/>
          <w:color w:val="0E3B43"/>
          <w:sz w:val="20"/>
        </w:rPr>
        <w:t>El pagador abre el checkout en la app (inbox, QR o folio).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4. </w:t>
      </w:r>
      <w:r>
        <w:rPr>
          <w:rFonts w:ascii="Calibri" w:hAnsi="Calibri" w:eastAsia="Calibri"/>
          <w:b w:val="0"/>
          <w:color w:val="0E3B43"/>
          <w:sz w:val="20"/>
        </w:rPr>
        <w:t>Al confirmar, la app NO debita un saldo propio: solicita al riel Banxico/banco patrocinador la transferencia cuenta→cuenta.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5. </w:t>
      </w:r>
      <w:r>
        <w:rPr>
          <w:rFonts w:ascii="Calibri" w:hAnsi="Calibri" w:eastAsia="Calibri"/>
          <w:b w:val="0"/>
          <w:color w:val="0E3B43"/>
          <w:sz w:val="20"/>
        </w:rPr>
        <w:t>La liquidación ocurre entre bancos; la app registra resultado, CEP y debita la membresía 0.05% + IVA del receptor.</w:t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3.2 Rol de Mis cuentas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6520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Respuesta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¿Para cobrar?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Sí — CLABE destino del cobro</w:t>
            </w:r>
          </w:p>
        </w:tc>
      </w:tr>
      <w:tr>
        <w:tc>
          <w:tcPr>
            <w:tcW w:type="dxa" w:w="283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¿Para pagar (cuenta origen)?</w:t>
            </w:r>
          </w:p>
        </w:tc>
        <w:tc>
          <w:tcPr>
            <w:tcW w:type="dxa" w:w="6520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No — el cargo lo autoriza el banco del pagador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¿Por qué?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En CoDi el origen vive en la app bancaria; la PSPI no custodia esa cuenta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3.3 Secuencia operativa del puente</w:t>
      </w:r>
    </w:p>
    <w:p>
      <w:pPr>
        <w:spacing w:after="80" w:line="240" w:lineRule="auto"/>
        <w:jc w:val="left"/>
      </w:pPr>
      <w:r>
        <w:rPr>
          <w:rFonts w:ascii="Calibri" w:hAnsi="Calibri" w:eastAsia="Calibri"/>
          <w:b/>
          <w:color w:val="2A8D92"/>
          <w:sz w:val="22"/>
        </w:rPr>
        <w:t>Secuencia cobrador → pagador → Banxico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1. </w:t>
      </w:r>
      <w:r>
        <w:rPr>
          <w:rFonts w:ascii="Calibri" w:hAnsi="Calibri" w:eastAsia="Calibri"/>
          <w:b w:val="0"/>
          <w:color w:val="0E3B43"/>
          <w:sz w:val="20"/>
        </w:rPr>
        <w:t>Cobrador registra CLABE destino en bóveda.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2. </w:t>
      </w:r>
      <w:r>
        <w:rPr>
          <w:rFonts w:ascii="Calibri" w:hAnsi="Calibri" w:eastAsia="Calibri"/>
          <w:b w:val="0"/>
          <w:color w:val="0E3B43"/>
          <w:sz w:val="20"/>
        </w:rPr>
        <w:t>Cobrador crea cobro (monto, concepto, vigencia, opciones).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3. </w:t>
      </w:r>
      <w:r>
        <w:rPr>
          <w:rFonts w:ascii="Calibri" w:hAnsi="Calibri" w:eastAsia="Calibri"/>
          <w:b w:val="0"/>
          <w:color w:val="0E3B43"/>
          <w:sz w:val="20"/>
        </w:rPr>
        <w:t>Sistema crea folio + Mensaje de Cobro + QR.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4. </w:t>
      </w:r>
      <w:r>
        <w:rPr>
          <w:rFonts w:ascii="Calibri" w:hAnsi="Calibri" w:eastAsia="Calibri"/>
          <w:b w:val="0"/>
          <w:color w:val="0E3B43"/>
          <w:sz w:val="20"/>
        </w:rPr>
        <w:t>Se comparte QR / folio / cobro dirigido al pagador.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5. </w:t>
      </w:r>
      <w:r>
        <w:rPr>
          <w:rFonts w:ascii="Calibri" w:hAnsi="Calibri" w:eastAsia="Calibri"/>
          <w:b w:val="0"/>
          <w:color w:val="0E3B43"/>
          <w:sz w:val="20"/>
        </w:rPr>
        <w:t>Pagador abre checkout y ve monto, beneficiario enmascarado y CEP.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6. </w:t>
      </w:r>
      <w:r>
        <w:rPr>
          <w:rFonts w:ascii="Calibri" w:hAnsi="Calibri" w:eastAsia="Calibri"/>
          <w:b w:val="0"/>
          <w:color w:val="0E3B43"/>
          <w:sz w:val="20"/>
        </w:rPr>
        <w:t>Pagador confirma (+ PIN/2FA si aplica).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7. </w:t>
      </w:r>
      <w:r>
        <w:rPr>
          <w:rFonts w:ascii="Calibri" w:hAnsi="Calibri" w:eastAsia="Calibri"/>
          <w:b w:val="0"/>
          <w:color w:val="0E3B43"/>
          <w:sz w:val="20"/>
        </w:rPr>
        <w:t>Producción: SC envía mensaje CoDi al riel Banxico.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8. </w:t>
      </w:r>
      <w:r>
        <w:rPr>
          <w:rFonts w:ascii="Calibri" w:hAnsi="Calibri" w:eastAsia="Calibri"/>
          <w:b w:val="0"/>
          <w:color w:val="0E3B43"/>
          <w:sz w:val="20"/>
        </w:rPr>
        <w:t>Liquidación cuenta→cuenta (objetivo ≤4s) y clave de rastreo.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9. </w:t>
      </w:r>
      <w:r>
        <w:rPr>
          <w:rFonts w:ascii="Calibri" w:hAnsi="Calibri" w:eastAsia="Calibri"/>
          <w:b w:val="0"/>
          <w:color w:val="0E3B43"/>
          <w:sz w:val="20"/>
        </w:rPr>
        <w:t>Se deduce membresía del receptor; se notifican ambas partes.</w:t>
      </w:r>
    </w:p>
    <w:p>
      <w:pPr>
        <w:spacing w:before="120" w:after="200"/>
        <w:ind w:left="227"/>
      </w:pPr>
      <w:r>
        <w:rPr>
          <w:rFonts w:ascii="Calibri" w:hAnsi="Calibri" w:eastAsia="Calibri"/>
          <w:b/>
          <w:color w:val="2A8D92"/>
          <w:sz w:val="20"/>
        </w:rPr>
        <w:t xml:space="preserve">Nota: </w:t>
      </w:r>
      <w:r>
        <w:rPr>
          <w:rFonts w:ascii="Calibri" w:hAnsi="Calibri" w:eastAsia="Calibri"/>
          <w:b w:val="0"/>
          <w:color w:val="5A6B6C"/>
          <w:sz w:val="20"/>
        </w:rPr>
        <w:t>Hoy en el código, POST /checkout/{folio}/pay y POST /checkout/direct simulan la liquidación. La conexión real PSPI ↔ Banxico es el siguiente hito de producción.</w:t>
      </w:r>
    </w:p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4. Arquitectura del sistema</w:t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4.1 Componentes</w:t>
      </w:r>
    </w:p>
    <w:p>
      <w:pPr>
        <w:spacing w:after="80" w:line="240" w:lineRule="auto"/>
        <w:jc w:val="left"/>
      </w:pPr>
      <w:r>
        <w:rPr>
          <w:rFonts w:ascii="Calibri" w:hAnsi="Calibri" w:eastAsia="Calibri"/>
          <w:b/>
          <w:color w:val="2A8D92"/>
          <w:sz w:val="22"/>
        </w:rPr>
        <w:t>Vista de despliegue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1. </w:t>
      </w:r>
      <w:r>
        <w:rPr>
          <w:rFonts w:ascii="Calibri" w:hAnsi="Calibri" w:eastAsia="Calibri"/>
          <w:b w:val="0"/>
          <w:color w:val="0E3B43"/>
          <w:sz w:val="20"/>
        </w:rPr>
        <w:t>Navegador del usuario → Nginx (HTTPS).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2. </w:t>
      </w:r>
      <w:r>
        <w:rPr>
          <w:rFonts w:ascii="Calibri" w:hAnsi="Calibri" w:eastAsia="Calibri"/>
          <w:b w:val="0"/>
          <w:color w:val="0E3B43"/>
          <w:sz w:val="20"/>
        </w:rPr>
        <w:t>Nginx enruta / y assets al frontend estático; /api/* y /docs al backend.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3. </w:t>
      </w:r>
      <w:r>
        <w:rPr>
          <w:rFonts w:ascii="Calibri" w:hAnsi="Calibri" w:eastAsia="Calibri"/>
          <w:b w:val="0"/>
          <w:color w:val="0E3B43"/>
          <w:sz w:val="20"/>
        </w:rPr>
        <w:t>Backend FastAPI (Uvicorn/Gunicorn) persiste en PostgreSQL 16.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4. </w:t>
      </w:r>
      <w:r>
        <w:rPr>
          <w:rFonts w:ascii="Calibri" w:hAnsi="Calibri" w:eastAsia="Calibri"/>
          <w:b w:val="0"/>
          <w:color w:val="0E3B43"/>
          <w:sz w:val="20"/>
        </w:rPr>
        <w:t>Redis está provisionado para rate-limit/sesiones futuras (aún sin uso intensivo en app).</w:t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4.2 Estructura del repositorio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backend/ — FastAPI, ORM, routers, migraciones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frontend/ — landing (index.html) + SPA (app.html)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docs/ — documentación técnica y operativa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deploy/ — guía AWS EC2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nginx/ — reverse-proxy producción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docker-compose*.yml · ecosystem.config.js (PM2 puerto 3017)</w:t>
      </w:r>
    </w:p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5. Stack tecnológico</w:t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5.1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6520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Python 3.12+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Runtime</w:t>
            </w:r>
          </w:p>
        </w:tc>
      </w:tr>
      <w:tr>
        <w:tc>
          <w:tcPr>
            <w:tcW w:type="dxa" w:w="283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FastAPI</w:t>
            </w:r>
          </w:p>
        </w:tc>
        <w:tc>
          <w:tcPr>
            <w:tcW w:type="dxa" w:w="6520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API REST + OpenAPI/Swagger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Uvicorn / Gunicorn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ASGI (dev / prod)</w:t>
            </w:r>
          </w:p>
        </w:tc>
      </w:tr>
      <w:tr>
        <w:tc>
          <w:tcPr>
            <w:tcW w:type="dxa" w:w="283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SQLAlchemy 2</w:t>
            </w:r>
          </w:p>
        </w:tc>
        <w:tc>
          <w:tcPr>
            <w:tcW w:type="dxa" w:w="6520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ORM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Pydantic 2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Validación I/O</w:t>
            </w:r>
          </w:p>
        </w:tc>
      </w:tr>
      <w:tr>
        <w:tc>
          <w:tcPr>
            <w:tcW w:type="dxa" w:w="283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PostgreSQL 16</w:t>
            </w:r>
          </w:p>
        </w:tc>
        <w:tc>
          <w:tcPr>
            <w:tcW w:type="dxa" w:w="6520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Persistencia (SQLite fallback)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python-jose / cryptography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JWT HS256 · AES-256-CBC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5.2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6236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HTML5 / CSS3 / JS ES2020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SPA sin framework ni build</w:t>
            </w:r>
          </w:p>
        </w:tc>
      </w:tr>
      <w:tr>
        <w:tc>
          <w:tcPr>
            <w:tcW w:type="dxa" w:w="311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qrcodejs / jsQR</w:t>
            </w:r>
          </w:p>
        </w:tc>
        <w:tc>
          <w:tcPr>
            <w:tcW w:type="dxa" w:w="6236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Generación y lectura de QR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localStorage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Solo token JWT (superclabe_token)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5.3 Constantes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Constante</w:t>
            </w:r>
          </w:p>
        </w:tc>
        <w:tc>
          <w:tcPr>
            <w:tcW w:type="dxa" w:w="5953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MEMBERSHIP_FEE_RATE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0.0005 (0.05%)</w:t>
            </w:r>
          </w:p>
        </w:tc>
      </w:tr>
      <w:tr>
        <w:tc>
          <w:tcPr>
            <w:tcW w:type="dxa" w:w="340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IVA_RATE</w:t>
            </w:r>
          </w:p>
        </w:tc>
        <w:tc>
          <w:tcPr>
            <w:tcW w:type="dxa" w:w="5953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0.16 (16%)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MAX_WHATSAPP_REMINDERS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3</w:t>
            </w:r>
          </w:p>
        </w:tc>
      </w:tr>
      <w:tr>
        <w:tc>
          <w:tcPr>
            <w:tcW w:type="dxa" w:w="340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SESSION / JWT</w:t>
            </w:r>
          </w:p>
        </w:tc>
        <w:tc>
          <w:tcPr>
            <w:tcW w:type="dxa" w:w="5953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20 minutos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KYC MXN niveles 1–4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0 / 25,000 / 68,000 / ilimitado</w:t>
            </w:r>
          </w:p>
        </w:tc>
      </w:tr>
      <w:tr>
        <w:tc>
          <w:tcPr>
            <w:tcW w:type="dxa" w:w="340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MIN_OPERATING_LEVEL</w:t>
            </w:r>
          </w:p>
        </w:tc>
        <w:tc>
          <w:tcPr>
            <w:tcW w:type="dxa" w:w="5953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2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6. Módulos funcionales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2"/>
        </w:rPr>
        <w:t>El sistema expone ocho vistas de producto, más autenticación y panel de notificaciones.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80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01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Módulo UI</w:t>
            </w:r>
          </w:p>
        </w:tc>
        <w:tc>
          <w:tcPr>
            <w:tcW w:type="dxa" w:w="1984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2551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1701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Norma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Inicio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tx / membership / me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KPIs y movimientos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Operativo</w:t>
            </w:r>
          </w:p>
        </w:tc>
      </w:tr>
      <w:tr>
        <w:tc>
          <w:tcPr>
            <w:tcW w:type="dxa" w:w="680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2</w:t>
            </w:r>
          </w:p>
        </w:tc>
        <w:tc>
          <w:tcPr>
            <w:tcW w:type="dxa" w:w="170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Mi perfil</w:t>
            </w:r>
          </w:p>
        </w:tc>
        <w:tc>
          <w:tcPr>
            <w:tcW w:type="dxa" w:w="1984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/kyc</w:t>
            </w:r>
          </w:p>
        </w:tc>
        <w:tc>
          <w:tcPr>
            <w:tcW w:type="dxa" w:w="255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KYC gradual 1–4</w:t>
            </w:r>
          </w:p>
        </w:tc>
        <w:tc>
          <w:tcPr>
            <w:tcW w:type="dxa" w:w="170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Regla 72a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Mis cuentas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/vault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CLABE destino cifrada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Regla 58a</w:t>
            </w:r>
          </w:p>
        </w:tc>
      </w:tr>
      <w:tr>
        <w:tc>
          <w:tcPr>
            <w:tcW w:type="dxa" w:w="680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4</w:t>
            </w:r>
          </w:p>
        </w:tc>
        <w:tc>
          <w:tcPr>
            <w:tcW w:type="dxa" w:w="170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Favoritos</w:t>
            </w:r>
          </w:p>
        </w:tc>
        <w:tc>
          <w:tcPr>
            <w:tcW w:type="dxa" w:w="1984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/billing/favorites</w:t>
            </w:r>
          </w:p>
        </w:tc>
        <w:tc>
          <w:tcPr>
            <w:tcW w:type="dxa" w:w="255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Contactos frecuentes</w:t>
            </w:r>
          </w:p>
        </w:tc>
        <w:tc>
          <w:tcPr>
            <w:tcW w:type="dxa" w:w="170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UX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Cobrar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/billing/charges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Mensaje de Cobro + QR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Apéndice AD</w:t>
            </w:r>
          </w:p>
        </w:tc>
      </w:tr>
      <w:tr>
        <w:tc>
          <w:tcPr>
            <w:tcW w:type="dxa" w:w="680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6</w:t>
            </w:r>
          </w:p>
        </w:tc>
        <w:tc>
          <w:tcPr>
            <w:tcW w:type="dxa" w:w="170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Pagar</w:t>
            </w:r>
          </w:p>
        </w:tc>
        <w:tc>
          <w:tcPr>
            <w:tcW w:type="dxa" w:w="1984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/checkout</w:t>
            </w:r>
          </w:p>
        </w:tc>
        <w:tc>
          <w:tcPr>
            <w:tcW w:type="dxa" w:w="255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Inbox, QR, directo</w:t>
            </w:r>
          </w:p>
        </w:tc>
        <w:tc>
          <w:tcPr>
            <w:tcW w:type="dxa" w:w="170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Regla 71a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Membresía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/membership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Saldo prepago y recarga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No IFPE</w:t>
            </w:r>
          </w:p>
        </w:tc>
      </w:tr>
      <w:tr>
        <w:tc>
          <w:tcPr>
            <w:tcW w:type="dxa" w:w="680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8</w:t>
            </w:r>
          </w:p>
        </w:tc>
        <w:tc>
          <w:tcPr>
            <w:tcW w:type="dxa" w:w="170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Bitácoras</w:t>
            </w:r>
          </w:p>
        </w:tc>
        <w:tc>
          <w:tcPr>
            <w:tcW w:type="dxa" w:w="1984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/compliance</w:t>
            </w:r>
          </w:p>
        </w:tc>
        <w:tc>
          <w:tcPr>
            <w:tcW w:type="dxa" w:w="255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Auditoría hash</w:t>
            </w:r>
          </w:p>
        </w:tc>
        <w:tc>
          <w:tcPr>
            <w:tcW w:type="dxa" w:w="170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Regla 58a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6.1 Detalle operativo por módulo</w:t>
      </w:r>
    </w:p>
    <w:p>
      <w:pPr>
        <w:spacing w:after="40" w:line="240" w:lineRule="auto"/>
        <w:jc w:val="left"/>
      </w:pPr>
      <w:r>
        <w:rPr>
          <w:rFonts w:ascii="Calibri" w:hAnsi="Calibri" w:eastAsia="Calibri"/>
          <w:b/>
          <w:color w:val="2A8D92"/>
          <w:sz w:val="22"/>
        </w:rPr>
        <w:t>Inicio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0"/>
        </w:rPr>
        <w:t>Resumen de volumen cobrado/enviado; tarjeta de membresía (saldo MXN, % usado, volumen estimado); listado filtrable de transacciones; accesos rápidos.</w:t>
      </w:r>
    </w:p>
    <w:p>
      <w:pPr>
        <w:spacing w:after="40" w:line="240" w:lineRule="auto"/>
        <w:jc w:val="left"/>
      </w:pPr>
      <w:r>
        <w:rPr>
          <w:rFonts w:ascii="Calibri" w:hAnsi="Calibri" w:eastAsia="Calibri"/>
          <w:b/>
          <w:color w:val="2A8D92"/>
          <w:sz w:val="22"/>
        </w:rPr>
        <w:t>Mi perfil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0"/>
        </w:rPr>
        <w:t>Persona física o moral; elevación de nivel con CURP/RFC y documentos; uso mensual de abonos; nivel 1 no opera.</w:t>
      </w:r>
    </w:p>
    <w:p>
      <w:pPr>
        <w:spacing w:after="40" w:line="240" w:lineRule="auto"/>
        <w:jc w:val="left"/>
      </w:pPr>
      <w:r>
        <w:rPr>
          <w:rFonts w:ascii="Calibri" w:hAnsi="Calibri" w:eastAsia="Calibri"/>
          <w:b/>
          <w:color w:val="2A8D92"/>
          <w:sz w:val="22"/>
        </w:rPr>
        <w:t>Mis cuentas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0"/>
        </w:rPr>
        <w:t>Alta de CLABE con validación mod-10; alias, titular y banco; solo máscara en UI; obligatoria para crear cobros.</w:t>
      </w:r>
    </w:p>
    <w:p>
      <w:pPr>
        <w:spacing w:after="40" w:line="240" w:lineRule="auto"/>
        <w:jc w:val="left"/>
      </w:pPr>
      <w:r>
        <w:rPr>
          <w:rFonts w:ascii="Calibri" w:hAnsi="Calibri" w:eastAsia="Calibri"/>
          <w:b/>
          <w:color w:val="2A8D92"/>
          <w:sz w:val="22"/>
        </w:rPr>
        <w:t>Favoritos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0"/>
        </w:rPr>
        <w:t>Búsqueda de usuarios; alta/baja; atajos a cobro dirigido y pago directo.</w:t>
      </w:r>
    </w:p>
    <w:p>
      <w:pPr>
        <w:spacing w:after="40" w:line="240" w:lineRule="auto"/>
        <w:jc w:val="left"/>
      </w:pPr>
      <w:r>
        <w:rPr>
          <w:rFonts w:ascii="Calibri" w:hAnsi="Calibri" w:eastAsia="Calibri"/>
          <w:b/>
          <w:color w:val="2A8D92"/>
          <w:sz w:val="22"/>
        </w:rPr>
        <w:t>Cobrar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0"/>
        </w:rPr>
        <w:t>Asistente: cuenta → monto → opciones → QR. Tipos OPEN/TARGETED; monto fijo u open; usos, frecuencia, vigencia, PIN; recordatorios máx. 3.</w:t>
      </w:r>
    </w:p>
    <w:p>
      <w:pPr>
        <w:spacing w:after="40" w:line="240" w:lineRule="auto"/>
        <w:jc w:val="left"/>
      </w:pPr>
      <w:r>
        <w:rPr>
          <w:rFonts w:ascii="Calibri" w:hAnsi="Calibri" w:eastAsia="Calibri"/>
          <w:b/>
          <w:color w:val="2A8D92"/>
          <w:sz w:val="22"/>
        </w:rPr>
        <w:t>Pagar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0"/>
        </w:rPr>
        <w:t>Inbox de cobros dirigidos; QR (cámara/imagen/pegar); envío directo a alias; checkout con beneficiario enmascarado y CEP.</w:t>
      </w:r>
    </w:p>
    <w:p>
      <w:pPr>
        <w:spacing w:after="40" w:line="240" w:lineRule="auto"/>
        <w:jc w:val="left"/>
      </w:pPr>
      <w:r>
        <w:rPr>
          <w:rFonts w:ascii="Calibri" w:hAnsi="Calibri" w:eastAsia="Calibri"/>
          <w:b/>
          <w:color w:val="2A8D92"/>
          <w:sz w:val="22"/>
        </w:rPr>
        <w:t>Membresía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0"/>
        </w:rPr>
        <w:t>Saldo y estatus active/blocked; recarga simulada; simulador tarifa + IVA.</w:t>
      </w:r>
    </w:p>
    <w:p>
      <w:pPr>
        <w:spacing w:after="40" w:line="240" w:lineRule="auto"/>
        <w:jc w:val="left"/>
      </w:pPr>
      <w:r>
        <w:rPr>
          <w:rFonts w:ascii="Calibri" w:hAnsi="Calibri" w:eastAsia="Calibri"/>
          <w:b/>
          <w:color w:val="2A8D92"/>
          <w:sz w:val="22"/>
        </w:rPr>
        <w:t>Bitácoras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0"/>
        </w:rPr>
        <w:t>Tabla de eventos y verificación de integridad de la cadena hash.</w:t>
      </w:r>
    </w:p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7. Modelo de datos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2"/>
        </w:rPr>
        <w:t>El modelo relacional centra la identidad en users (alias $@). La bóveda guarda CLABEs destino; charges referencia destination_account_id; transactions registran liquidaciones (charge_id nulo = pago directo). favorites, notifications, audit_logs y memberships completan el dominio.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5953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users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Identidad $@alias, email/tel, KYC, TOTP</w:t>
            </w:r>
          </w:p>
        </w:tc>
      </w:tr>
      <w:tr>
        <w:tc>
          <w:tcPr>
            <w:tcW w:type="dxa" w:w="340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companies_metadata / individuals_metadata</w:t>
            </w:r>
          </w:p>
        </w:tc>
        <w:tc>
          <w:tcPr>
            <w:tcW w:type="dxa" w:w="5953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Identidad cifrada + documentos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vault_accounts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CLABE destino cifrada / máscara / hash</w:t>
            </w:r>
          </w:p>
        </w:tc>
      </w:tr>
      <w:tr>
        <w:tc>
          <w:tcPr>
            <w:tcW w:type="dxa" w:w="340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memberships</w:t>
            </w:r>
          </w:p>
        </w:tc>
        <w:tc>
          <w:tcPr>
            <w:tcW w:type="dxa" w:w="5953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Saldo prepago y estatus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charges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Cobros CoDi (OPEN/TARGETED, usos, frecuencia, PIN)</w:t>
            </w:r>
          </w:p>
        </w:tc>
      </w:tr>
      <w:tr>
        <w:tc>
          <w:tcPr>
            <w:tcW w:type="dxa" w:w="340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favorites</w:t>
            </w:r>
          </w:p>
        </w:tc>
        <w:tc>
          <w:tcPr>
            <w:tcW w:type="dxa" w:w="5953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Relación usuario→usuario favorito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transactions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Liquidaciones; fee calculado; clave de rastreo</w:t>
            </w:r>
          </w:p>
        </w:tc>
      </w:tr>
      <w:tr>
        <w:tc>
          <w:tcPr>
            <w:tcW w:type="dxa" w:w="340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audit_logs</w:t>
            </w:r>
          </w:p>
        </w:tc>
        <w:tc>
          <w:tcPr>
            <w:tcW w:type="dxa" w:w="5953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Eventos con hash encadenado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notifications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Alertas in-app por origen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8. API REST completa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5A6B6C"/>
          <w:sz w:val="20"/>
        </w:rPr>
        <w:t>Base: /api/v1 · Auth: Bearer JWT · Swagger: /docs</w:t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8.1 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551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Ruta</w:t>
            </w:r>
          </w:p>
        </w:tc>
        <w:tc>
          <w:tcPr>
            <w:tcW w:type="dxa" w:w="5386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POST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/auth/register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Alta usuario + membresía 0 + KYC 1</w:t>
            </w:r>
          </w:p>
        </w:tc>
      </w:tr>
      <w:tr>
        <w:tc>
          <w:tcPr>
            <w:tcW w:type="dxa" w:w="141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POST</w:t>
            </w:r>
          </w:p>
        </w:tc>
        <w:tc>
          <w:tcPr>
            <w:tcW w:type="dxa" w:w="255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/auth/login</w:t>
            </w:r>
          </w:p>
        </w:tc>
        <w:tc>
          <w:tcPr>
            <w:tcW w:type="dxa" w:w="5386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Login por alias; TOTP opcional → JWT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/auth/me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Perfil + uso mensual KYC</w:t>
            </w:r>
          </w:p>
        </w:tc>
      </w:tr>
      <w:tr>
        <w:tc>
          <w:tcPr>
            <w:tcW w:type="dxa" w:w="141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GET</w:t>
            </w:r>
          </w:p>
        </w:tc>
        <w:tc>
          <w:tcPr>
            <w:tcW w:type="dxa" w:w="255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/auth/lookup</w:t>
            </w:r>
          </w:p>
        </w:tc>
        <w:tc>
          <w:tcPr>
            <w:tcW w:type="dxa" w:w="5386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Lookup público para UX login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/auth/users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Directorio (favoritos / dirigidos)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8.2 KYC · Vault · Membership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835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Ruta</w:t>
            </w:r>
          </w:p>
        </w:tc>
        <w:tc>
          <w:tcPr>
            <w:tcW w:type="dxa" w:w="5102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/kyc/limits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Límites en UDIS</w:t>
            </w:r>
          </w:p>
        </w:tc>
      </w:tr>
      <w:tr>
        <w:tc>
          <w:tcPr>
            <w:tcW w:type="dxa" w:w="141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POST</w:t>
            </w:r>
          </w:p>
        </w:tc>
        <w:tc>
          <w:tcPr>
            <w:tcW w:type="dxa" w:w="283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/kyc/upgrade</w:t>
            </w:r>
          </w:p>
        </w:tc>
        <w:tc>
          <w:tcPr>
            <w:tcW w:type="dxa" w:w="510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Eleva nivel 2–4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POST/GET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/vault/accounts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Alta y listado de CLABE</w:t>
            </w:r>
          </w:p>
        </w:tc>
      </w:tr>
      <w:tr>
        <w:tc>
          <w:tcPr>
            <w:tcW w:type="dxa" w:w="141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GET</w:t>
            </w:r>
          </w:p>
        </w:tc>
        <w:tc>
          <w:tcPr>
            <w:tcW w:type="dxa" w:w="283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/membership</w:t>
            </w:r>
          </w:p>
        </w:tc>
        <w:tc>
          <w:tcPr>
            <w:tcW w:type="dxa" w:w="510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Saldo, status, tasas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/membership/recharge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Recarga (simulada)</w:t>
            </w:r>
          </w:p>
        </w:tc>
      </w:tr>
      <w:tr>
        <w:tc>
          <w:tcPr>
            <w:tcW w:type="dxa" w:w="141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POST</w:t>
            </w:r>
          </w:p>
        </w:tc>
        <w:tc>
          <w:tcPr>
            <w:tcW w:type="dxa" w:w="283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/membership/deduct</w:t>
            </w:r>
          </w:p>
        </w:tc>
        <w:tc>
          <w:tcPr>
            <w:tcW w:type="dxa" w:w="510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Deducción manual/interna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8.3 Billing · Checkout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118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Ruta</w:t>
            </w:r>
          </w:p>
        </w:tc>
        <w:tc>
          <w:tcPr>
            <w:tcW w:type="dxa" w:w="4422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POST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/billing/charges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Crea cobro + QR</w:t>
            </w:r>
          </w:p>
        </w:tc>
      </w:tr>
      <w:tr>
        <w:tc>
          <w:tcPr>
            <w:tcW w:type="dxa" w:w="1814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GET</w:t>
            </w:r>
          </w:p>
        </w:tc>
        <w:tc>
          <w:tcPr>
            <w:tcW w:type="dxa" w:w="311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/billing/charges</w:t>
            </w:r>
          </w:p>
        </w:tc>
        <w:tc>
          <w:tcPr>
            <w:tcW w:type="dxa" w:w="442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Mis cobros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/billing/charges/payable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Cobros dirigidos a mí</w:t>
            </w:r>
          </w:p>
        </w:tc>
      </w:tr>
      <w:tr>
        <w:tc>
          <w:tcPr>
            <w:tcW w:type="dxa" w:w="1814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POST</w:t>
            </w:r>
          </w:p>
        </w:tc>
        <w:tc>
          <w:tcPr>
            <w:tcW w:type="dxa" w:w="311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/billing/charges/{id}/remind</w:t>
            </w:r>
          </w:p>
        </w:tc>
        <w:tc>
          <w:tcPr>
            <w:tcW w:type="dxa" w:w="442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Recordatorio (máx. 3)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GET/POST/DELETE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/billing/favorites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CRUD favoritos</w:t>
            </w:r>
          </w:p>
        </w:tc>
      </w:tr>
      <w:tr>
        <w:tc>
          <w:tcPr>
            <w:tcW w:type="dxa" w:w="1814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POST</w:t>
            </w:r>
          </w:p>
        </w:tc>
        <w:tc>
          <w:tcPr>
            <w:tcW w:type="dxa" w:w="311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/checkout/direct</w:t>
            </w:r>
          </w:p>
        </w:tc>
        <w:tc>
          <w:tcPr>
            <w:tcW w:type="dxa" w:w="442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Pago P2P sin QR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POST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/checkout/scan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Decodifica QR → checkout</w:t>
            </w:r>
          </w:p>
        </w:tc>
      </w:tr>
      <w:tr>
        <w:tc>
          <w:tcPr>
            <w:tcW w:type="dxa" w:w="1814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GET</w:t>
            </w:r>
          </w:p>
        </w:tc>
        <w:tc>
          <w:tcPr>
            <w:tcW w:type="dxa" w:w="311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/checkout/{folio}</w:t>
            </w:r>
          </w:p>
        </w:tc>
        <w:tc>
          <w:tcPr>
            <w:tcW w:type="dxa" w:w="442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Vista pública del cobro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POST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/checkout/{folio}/pay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Liquidación (simulada)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8.4 Notifications ·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685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Ruta</w:t>
            </w:r>
          </w:p>
        </w:tc>
        <w:tc>
          <w:tcPr>
            <w:tcW w:type="dxa" w:w="4252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/notifications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Listado</w:t>
            </w:r>
          </w:p>
        </w:tc>
      </w:tr>
      <w:tr>
        <w:tc>
          <w:tcPr>
            <w:tcW w:type="dxa" w:w="141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GET</w:t>
            </w:r>
          </w:p>
        </w:tc>
        <w:tc>
          <w:tcPr>
            <w:tcW w:type="dxa" w:w="368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/notifications/unread-count</w:t>
            </w:r>
          </w:p>
        </w:tc>
        <w:tc>
          <w:tcPr>
            <w:tcW w:type="dxa" w:w="425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Contador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POST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/notifications/{id}/read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Marcar leída</w:t>
            </w:r>
          </w:p>
        </w:tc>
      </w:tr>
      <w:tr>
        <w:tc>
          <w:tcPr>
            <w:tcW w:type="dxa" w:w="141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POST</w:t>
            </w:r>
          </w:p>
        </w:tc>
        <w:tc>
          <w:tcPr>
            <w:tcW w:type="dxa" w:w="368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/notifications/read-all</w:t>
            </w:r>
          </w:p>
        </w:tc>
        <w:tc>
          <w:tcPr>
            <w:tcW w:type="dxa" w:w="425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Marcar todas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/compliance/audit-logs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Bitácora</w:t>
            </w:r>
          </w:p>
        </w:tc>
      </w:tr>
      <w:tr>
        <w:tc>
          <w:tcPr>
            <w:tcW w:type="dxa" w:w="141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GET</w:t>
            </w:r>
          </w:p>
        </w:tc>
        <w:tc>
          <w:tcPr>
            <w:tcW w:type="dxa" w:w="368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/compliance/audit-logs/verify</w:t>
            </w:r>
          </w:p>
        </w:tc>
        <w:tc>
          <w:tcPr>
            <w:tcW w:type="dxa" w:w="425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Verifica cadena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/compliance/transactions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Tx + CEP</w:t>
            </w:r>
          </w:p>
        </w:tc>
      </w:tr>
      <w:tr>
        <w:tc>
          <w:tcPr>
            <w:tcW w:type="dxa" w:w="141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GET</w:t>
            </w:r>
          </w:p>
        </w:tc>
        <w:tc>
          <w:tcPr>
            <w:tcW w:type="dxa" w:w="368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/compliance/reconciliation</w:t>
            </w:r>
          </w:p>
        </w:tc>
        <w:tc>
          <w:tcPr>
            <w:tcW w:type="dxa" w:w="425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Conciliación receptor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9. Flujos operativos</w:t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9.1 Alta de usuario y primer uso</w:t>
      </w:r>
    </w:p>
    <w:p>
      <w:pPr>
        <w:spacing w:after="80" w:line="240" w:lineRule="auto"/>
        <w:jc w:val="left"/>
      </w:pPr>
      <w:r>
        <w:rPr>
          <w:rFonts w:ascii="Calibri" w:hAnsi="Calibri" w:eastAsia="Calibri"/>
          <w:b/>
          <w:color w:val="2A8D92"/>
          <w:sz w:val="22"/>
        </w:rPr>
        <w:t>Onboarding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1. </w:t>
      </w:r>
      <w:r>
        <w:rPr>
          <w:rFonts w:ascii="Calibri" w:hAnsi="Calibri" w:eastAsia="Calibri"/>
          <w:b w:val="0"/>
          <w:color w:val="0E3B43"/>
          <w:sz w:val="20"/>
        </w:rPr>
        <w:t>Abrir /app.html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2. </w:t>
      </w:r>
      <w:r>
        <w:rPr>
          <w:rFonts w:ascii="Calibri" w:hAnsi="Calibri" w:eastAsia="Calibri"/>
          <w:b w:val="0"/>
          <w:color w:val="0E3B43"/>
          <w:sz w:val="20"/>
        </w:rPr>
        <w:t>Registro (tipo PF/PM + alias $@ + email/tel) o login por alias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3. </w:t>
      </w:r>
      <w:r>
        <w:rPr>
          <w:rFonts w:ascii="Calibri" w:hAnsi="Calibri" w:eastAsia="Calibri"/>
          <w:b w:val="0"/>
          <w:color w:val="0E3B43"/>
          <w:sz w:val="20"/>
        </w:rPr>
        <w:t>Obtener JWT (20 min)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4. </w:t>
      </w:r>
      <w:r>
        <w:rPr>
          <w:rFonts w:ascii="Calibri" w:hAnsi="Calibri" w:eastAsia="Calibri"/>
          <w:b w:val="0"/>
          <w:color w:val="0E3B43"/>
          <w:sz w:val="20"/>
        </w:rPr>
        <w:t>Completar Perfil Financiero → nivel ≥ 2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5. </w:t>
      </w:r>
      <w:r>
        <w:rPr>
          <w:rFonts w:ascii="Calibri" w:hAnsi="Calibri" w:eastAsia="Calibri"/>
          <w:b w:val="0"/>
          <w:color w:val="0E3B43"/>
          <w:sz w:val="20"/>
        </w:rPr>
        <w:t>Agregar CLABE en Mis cuentas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6. </w:t>
      </w:r>
      <w:r>
        <w:rPr>
          <w:rFonts w:ascii="Calibri" w:hAnsi="Calibri" w:eastAsia="Calibri"/>
          <w:b w:val="0"/>
          <w:color w:val="0E3B43"/>
          <w:sz w:val="20"/>
        </w:rPr>
        <w:t>Recargar membresía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7. </w:t>
      </w:r>
      <w:r>
        <w:rPr>
          <w:rFonts w:ascii="Calibri" w:hAnsi="Calibri" w:eastAsia="Calibri"/>
          <w:b w:val="0"/>
          <w:color w:val="0E3B43"/>
          <w:sz w:val="20"/>
        </w:rPr>
        <w:t>Listo para Cobrar / Pagar</w:t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9.2 Crear cobro CoDi</w:t>
      </w:r>
    </w:p>
    <w:p>
      <w:pPr>
        <w:spacing w:after="80" w:line="240" w:lineRule="auto"/>
        <w:jc w:val="left"/>
      </w:pPr>
      <w:r>
        <w:rPr>
          <w:rFonts w:ascii="Calibri" w:hAnsi="Calibri" w:eastAsia="Calibri"/>
          <w:b/>
          <w:color w:val="2A8D92"/>
          <w:sz w:val="22"/>
        </w:rPr>
        <w:t>Cobrar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1. </w:t>
      </w:r>
      <w:r>
        <w:rPr>
          <w:rFonts w:ascii="Calibri" w:hAnsi="Calibri" w:eastAsia="Calibri"/>
          <w:b w:val="0"/>
          <w:color w:val="0E3B43"/>
          <w:sz w:val="20"/>
        </w:rPr>
        <w:t>Validar membresía activa y KYC ≥ 2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2. </w:t>
      </w:r>
      <w:r>
        <w:rPr>
          <w:rFonts w:ascii="Calibri" w:hAnsi="Calibri" w:eastAsia="Calibri"/>
          <w:b w:val="0"/>
          <w:color w:val="0E3B43"/>
          <w:sz w:val="20"/>
        </w:rPr>
        <w:t>Elegir cuenta de bóveda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3. </w:t>
      </w:r>
      <w:r>
        <w:rPr>
          <w:rFonts w:ascii="Calibri" w:hAnsi="Calibri" w:eastAsia="Calibri"/>
          <w:b w:val="0"/>
          <w:color w:val="0E3B43"/>
          <w:sz w:val="20"/>
        </w:rPr>
        <w:t>Definir monto (fijo u open) y tipo OPEN/TARGETED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4. </w:t>
      </w:r>
      <w:r>
        <w:rPr>
          <w:rFonts w:ascii="Calibri" w:hAnsi="Calibri" w:eastAsia="Calibri"/>
          <w:b w:val="0"/>
          <w:color w:val="0E3B43"/>
          <w:sz w:val="20"/>
        </w:rPr>
        <w:t>Configurar vigencia, usos, frecuencia, PIN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5. </w:t>
      </w:r>
      <w:r>
        <w:rPr>
          <w:rFonts w:ascii="Calibri" w:hAnsi="Calibri" w:eastAsia="Calibri"/>
          <w:b w:val="0"/>
          <w:color w:val="0E3B43"/>
          <w:sz w:val="20"/>
        </w:rPr>
        <w:t>Validar tope de abonos del receptor si aplica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6. </w:t>
      </w:r>
      <w:r>
        <w:rPr>
          <w:rFonts w:ascii="Calibri" w:hAnsi="Calibri" w:eastAsia="Calibri"/>
          <w:b w:val="0"/>
          <w:color w:val="0E3B43"/>
          <w:sz w:val="20"/>
        </w:rPr>
        <w:t>POST /billing/charges → folio + QR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7. </w:t>
      </w:r>
      <w:r>
        <w:rPr>
          <w:rFonts w:ascii="Calibri" w:hAnsi="Calibri" w:eastAsia="Calibri"/>
          <w:b w:val="0"/>
          <w:color w:val="0E3B43"/>
          <w:sz w:val="20"/>
        </w:rPr>
        <w:t>Compartir / notificar al target si es dirigido</w:t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9.3 Pagar un cobro (QR / inbox)</w:t>
      </w:r>
    </w:p>
    <w:p>
      <w:pPr>
        <w:spacing w:after="80" w:line="240" w:lineRule="auto"/>
        <w:jc w:val="left"/>
      </w:pPr>
      <w:r>
        <w:rPr>
          <w:rFonts w:ascii="Calibri" w:hAnsi="Calibri" w:eastAsia="Calibri"/>
          <w:b/>
          <w:color w:val="2A8D92"/>
          <w:sz w:val="22"/>
        </w:rPr>
        <w:t>Liquidación de cobro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1. </w:t>
      </w:r>
      <w:r>
        <w:rPr>
          <w:rFonts w:ascii="Calibri" w:hAnsi="Calibri" w:eastAsia="Calibri"/>
          <w:b w:val="0"/>
          <w:color w:val="0E3B43"/>
          <w:sz w:val="20"/>
        </w:rPr>
        <w:t>Entrar por Inbox o escanear/pegar QR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2. </w:t>
      </w:r>
      <w:r>
        <w:rPr>
          <w:rFonts w:ascii="Calibri" w:hAnsi="Calibri" w:eastAsia="Calibri"/>
          <w:b w:val="0"/>
          <w:color w:val="0E3B43"/>
          <w:sz w:val="20"/>
        </w:rPr>
        <w:t>Ver checkout: monto, beneficiario máscara, CEP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3. </w:t>
      </w:r>
      <w:r>
        <w:rPr>
          <w:rFonts w:ascii="Calibri" w:hAnsi="Calibri" w:eastAsia="Calibri"/>
          <w:b w:val="0"/>
          <w:color w:val="0E3B43"/>
          <w:sz w:val="20"/>
        </w:rPr>
        <w:t>Validar PIN y reglas del cobro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4. </w:t>
      </w:r>
      <w:r>
        <w:rPr>
          <w:rFonts w:ascii="Calibri" w:hAnsi="Calibri" w:eastAsia="Calibri"/>
          <w:b w:val="0"/>
          <w:color w:val="0E3B43"/>
          <w:sz w:val="20"/>
        </w:rPr>
        <w:t>POST /checkout/{folio}/pay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5. </w:t>
      </w:r>
      <w:r>
        <w:rPr>
          <w:rFonts w:ascii="Calibri" w:hAnsi="Calibri" w:eastAsia="Calibri"/>
          <w:b w:val="0"/>
          <w:color w:val="0E3B43"/>
          <w:sz w:val="20"/>
        </w:rPr>
        <w:t>Validar cupo KYC del receptor y membresía para el fee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6. </w:t>
      </w:r>
      <w:r>
        <w:rPr>
          <w:rFonts w:ascii="Calibri" w:hAnsi="Calibri" w:eastAsia="Calibri"/>
          <w:b w:val="0"/>
          <w:color w:val="0E3B43"/>
          <w:sz w:val="20"/>
        </w:rPr>
        <w:t>Tx PROCESSED · clave de rastreo · notificaciones</w:t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9.4 Pago directo</w:t>
      </w:r>
    </w:p>
    <w:p>
      <w:pPr>
        <w:spacing w:after="80" w:line="240" w:lineRule="auto"/>
        <w:jc w:val="left"/>
      </w:pPr>
      <w:r>
        <w:rPr>
          <w:rFonts w:ascii="Calibri" w:hAnsi="Calibri" w:eastAsia="Calibri"/>
          <w:b/>
          <w:color w:val="2A8D92"/>
          <w:sz w:val="22"/>
        </w:rPr>
        <w:t>Envío a alias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1. </w:t>
      </w:r>
      <w:r>
        <w:rPr>
          <w:rFonts w:ascii="Calibri" w:hAnsi="Calibri" w:eastAsia="Calibri"/>
          <w:b w:val="0"/>
          <w:color w:val="0E3B43"/>
          <w:sz w:val="20"/>
        </w:rPr>
        <w:t>Elegir alias / favorito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2. </w:t>
      </w:r>
      <w:r>
        <w:rPr>
          <w:rFonts w:ascii="Calibri" w:hAnsi="Calibri" w:eastAsia="Calibri"/>
          <w:b w:val="0"/>
          <w:color w:val="0E3B43"/>
          <w:sz w:val="20"/>
        </w:rPr>
        <w:t>Capturar monto y concepto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3. </w:t>
      </w:r>
      <w:r>
        <w:rPr>
          <w:rFonts w:ascii="Calibri" w:hAnsi="Calibri" w:eastAsia="Calibri"/>
          <w:b w:val="0"/>
          <w:color w:val="0E3B43"/>
          <w:sz w:val="20"/>
        </w:rPr>
        <w:t>Bloquear autoenvío (SELF_PAYMENT)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4. </w:t>
      </w:r>
      <w:r>
        <w:rPr>
          <w:rFonts w:ascii="Calibri" w:hAnsi="Calibri" w:eastAsia="Calibri"/>
          <w:b w:val="0"/>
          <w:color w:val="0E3B43"/>
          <w:sz w:val="20"/>
        </w:rPr>
        <w:t>Validar nivel mínimo del emisor y tope de abonos del receptor</w:t>
      </w:r>
    </w:p>
    <w:p>
      <w:pPr>
        <w:spacing w:after="60"/>
        <w:ind w:left="283"/>
      </w:pPr>
      <w:r>
        <w:rPr>
          <w:rFonts w:ascii="Calibri" w:hAnsi="Calibri" w:eastAsia="Calibri"/>
          <w:b/>
          <w:color w:val="2A8D92"/>
          <w:sz w:val="20"/>
        </w:rPr>
        <w:t xml:space="preserve">5. </w:t>
      </w:r>
      <w:r>
        <w:rPr>
          <w:rFonts w:ascii="Calibri" w:hAnsi="Calibri" w:eastAsia="Calibri"/>
          <w:b w:val="0"/>
          <w:color w:val="0E3B43"/>
          <w:sz w:val="20"/>
        </w:rPr>
        <w:t>POST /checkout/direct · fee solo al receptor</w:t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9.5 Matriz de roles en una operación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984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Operación</w:t>
            </w:r>
          </w:p>
        </w:tc>
        <w:tc>
          <w:tcPr>
            <w:tcW w:type="dxa" w:w="1984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Origen bancario</w:t>
            </w:r>
          </w:p>
        </w:tc>
        <w:tc>
          <w:tcPr>
            <w:tcW w:type="dxa" w:w="1984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Destino</w:t>
            </w:r>
          </w:p>
        </w:tc>
        <w:tc>
          <w:tcPr>
            <w:tcW w:type="dxa" w:w="1417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Fee</w:t>
            </w:r>
          </w:p>
        </w:tc>
        <w:tc>
          <w:tcPr>
            <w:tcW w:type="dxa" w:w="1984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Tope KYC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Cobro QR OPEN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Banco del pagador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Bóveda cobrador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Receptor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Abonos cobrador</w:t>
            </w:r>
          </w:p>
        </w:tc>
      </w:tr>
      <w:tr>
        <w:tc>
          <w:tcPr>
            <w:tcW w:type="dxa" w:w="1984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Cobro TARGETED</w:t>
            </w:r>
          </w:p>
        </w:tc>
        <w:tc>
          <w:tcPr>
            <w:tcW w:type="dxa" w:w="1984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Banco del pagador</w:t>
            </w:r>
          </w:p>
        </w:tc>
        <w:tc>
          <w:tcPr>
            <w:tcW w:type="dxa" w:w="1984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Bóveda cobrador</w:t>
            </w:r>
          </w:p>
        </w:tc>
        <w:tc>
          <w:tcPr>
            <w:tcW w:type="dxa" w:w="141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Receptor</w:t>
            </w:r>
          </w:p>
        </w:tc>
        <w:tc>
          <w:tcPr>
            <w:tcW w:type="dxa" w:w="1984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Abonos cobrador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Pago directo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Banco del pagador*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CLABE receptor*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Receptor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Abonos receptor</w:t>
            </w:r>
          </w:p>
        </w:tc>
      </w:tr>
    </w:tbl>
    <w:p/>
    <w:p>
      <w:pPr>
        <w:spacing w:before="120" w:after="200"/>
        <w:ind w:left="227"/>
      </w:pPr>
      <w:r>
        <w:rPr>
          <w:rFonts w:ascii="Calibri" w:hAnsi="Calibri" w:eastAsia="Calibri"/>
          <w:b/>
          <w:color w:val="2A8D92"/>
          <w:sz w:val="20"/>
        </w:rPr>
        <w:t xml:space="preserve">Nota: </w:t>
      </w:r>
      <w:r>
        <w:rPr>
          <w:rFonts w:ascii="Calibri" w:hAnsi="Calibri" w:eastAsia="Calibri"/>
          <w:b w:val="0"/>
          <w:color w:val="5A6B6C"/>
          <w:sz w:val="20"/>
        </w:rPr>
        <w:t>En la simulación actual el pago directo no selecciona CLABE origen/destino en UI; en producción CoDi/SPEI el destino debe resolverse a la bóveda del receptor.</w:t>
      </w:r>
    </w:p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10. Tarifas, membresía e IVA</w:t>
      </w:r>
    </w:p>
    <w:p>
      <w:pPr>
        <w:spacing w:after="160" w:line="240" w:lineRule="auto"/>
        <w:jc w:val="left"/>
      </w:pPr>
      <w:r>
        <w:rPr>
          <w:rFonts w:ascii="Calibri" w:hAnsi="Calibri" w:eastAsia="Calibri"/>
          <w:b/>
          <w:color w:val="0E3B43"/>
          <w:sz w:val="22"/>
        </w:rPr>
        <w:t>Fórmula (redondeo a 2 centavos):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base_fee = monto × 0.0005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iva = base_fee × 0.16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total_fee = base_fee + iva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2"/>
        </w:rPr>
        <w:t>Ejemplo: monto $10,000.00 MXN → base $5.00 + IVA $0.80 = $5.80 MXN debitados de la membresía del receptor.</w:t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10.1 Quién paga el fee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Flujo</w:t>
            </w:r>
          </w:p>
        </w:tc>
        <w:tc>
          <w:tcPr>
            <w:tcW w:type="dxa" w:w="5386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Pagador del fee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Liquidar cobro QR/CoDi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Dueño del cobro (receptor)</w:t>
            </w:r>
          </w:p>
        </w:tc>
      </w:tr>
      <w:tr>
        <w:tc>
          <w:tcPr>
            <w:tcW w:type="dxa" w:w="3969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Pago directo</w:t>
            </w:r>
          </w:p>
        </w:tc>
        <w:tc>
          <w:tcPr>
            <w:tcW w:type="dxa" w:w="5386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Receptor (cobro no solicitado)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Quien envía / paga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$0 de membresía por la transferencia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10.2 Volumen estimado en dashboard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2"/>
        </w:rPr>
        <w:t>Con saldo de membresía S: volumen_operaciones ≈ S / 0.00058. Se muestra en MXN y nunca en negativo.</w:t>
      </w:r>
    </w:p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11. Perfil Financiero y límites KYC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268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Operación</w:t>
            </w:r>
          </w:p>
        </w:tc>
        <w:tc>
          <w:tcPr>
            <w:tcW w:type="dxa" w:w="5386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Tope mensual de abonos recibidos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Solo registro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$0 (bloqueado)</w:t>
            </w:r>
          </w:p>
        </w:tc>
      </w:tr>
      <w:tr>
        <w:tc>
          <w:tcPr>
            <w:tcW w:type="dxa" w:w="170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2</w:t>
            </w:r>
          </w:p>
        </w:tc>
        <w:tc>
          <w:tcPr>
            <w:tcW w:type="dxa" w:w="226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Opera</w:t>
            </w:r>
          </w:p>
        </w:tc>
        <w:tc>
          <w:tcPr>
            <w:tcW w:type="dxa" w:w="5386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$25,000 MXN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Opera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$68,000 MXN</w:t>
            </w:r>
          </w:p>
        </w:tc>
      </w:tr>
      <w:tr>
        <w:tc>
          <w:tcPr>
            <w:tcW w:type="dxa" w:w="170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4</w:t>
            </w:r>
          </w:p>
        </w:tc>
        <w:tc>
          <w:tcPr>
            <w:tcW w:type="dxa" w:w="226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Opera</w:t>
            </w:r>
          </w:p>
        </w:tc>
        <w:tc>
          <w:tcPr>
            <w:tcW w:type="dxa" w:w="5386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Sin límite mensual</w:t>
            </w:r>
          </w:p>
        </w:tc>
      </w:tr>
    </w:tbl>
    <w:p/>
    <w:p>
      <w:pPr>
        <w:spacing w:before="120" w:after="200"/>
        <w:ind w:left="227"/>
      </w:pPr>
      <w:r>
        <w:rPr>
          <w:rFonts w:ascii="Calibri" w:hAnsi="Calibri" w:eastAsia="Calibri"/>
          <w:b/>
          <w:color w:val="2A8D92"/>
          <w:sz w:val="20"/>
        </w:rPr>
        <w:t xml:space="preserve">Nota: </w:t>
      </w:r>
      <w:r>
        <w:rPr>
          <w:rFonts w:ascii="Calibri" w:hAnsi="Calibri" w:eastAsia="Calibri"/>
          <w:b w:val="0"/>
          <w:color w:val="5A6B6C"/>
          <w:sz w:val="20"/>
        </w:rPr>
        <w:t>El tope no suma envíos/cargos; solo créditos donde el usuario es payee (abonos).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2"/>
        </w:rPr>
        <w:t>Se valida al crear cobros con monto fijo, al pagar cobros y en pago directo. Códigos: KYC_LEVEL_BLOCKED, KYC_LIMIT_EXCEEDED.</w:t>
      </w:r>
    </w:p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12. Seguridad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7087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JWT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HS256, expiración 20 min</w:t>
            </w:r>
          </w:p>
        </w:tc>
      </w:tr>
      <w:tr>
        <w:tc>
          <w:tcPr>
            <w:tcW w:type="dxa" w:w="226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TOTP</w:t>
            </w:r>
          </w:p>
        </w:tc>
        <w:tc>
          <w:tcPr>
            <w:tcW w:type="dxa" w:w="708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Opcional en login (RFC 6238)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AES-256-CBC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CLABE, CURP, RFC, nombres sensibles</w:t>
            </w:r>
          </w:p>
        </w:tc>
      </w:tr>
      <w:tr>
        <w:tc>
          <w:tcPr>
            <w:tcW w:type="dxa" w:w="226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CLABE</w:t>
            </w:r>
          </w:p>
        </w:tc>
        <w:tc>
          <w:tcPr>
            <w:tcW w:type="dxa" w:w="708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Mod-10; máscara últimos 4; hash SHA-256 unicidad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PIN de cobro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PBKDF2-HMAC-SHA256 (200k iteraciones)</w:t>
            </w:r>
          </w:p>
        </w:tc>
      </w:tr>
      <w:tr>
        <w:tc>
          <w:tcPr>
            <w:tcW w:type="dxa" w:w="226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Checkout</w:t>
            </w:r>
          </w:p>
        </w:tc>
        <w:tc>
          <w:tcPr>
            <w:tcW w:type="dxa" w:w="708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Titular por iniciales; banco visible; sin CLABE completa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Secretos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AES_SECRET_KEY y JWT_SECRET por entorno</w:t>
            </w:r>
          </w:p>
        </w:tc>
      </w:tr>
    </w:tbl>
    <w:p/>
    <w:p>
      <w:pPr>
        <w:spacing w:before="120" w:after="200"/>
        <w:ind w:left="227"/>
      </w:pPr>
      <w:r>
        <w:rPr>
          <w:rFonts w:ascii="Calibri" w:hAnsi="Calibri" w:eastAsia="Calibri"/>
          <w:b/>
          <w:color w:val="2A8D92"/>
          <w:sz w:val="20"/>
        </w:rPr>
        <w:t xml:space="preserve">Nota: </w:t>
      </w:r>
      <w:r>
        <w:rPr>
          <w:rFonts w:ascii="Calibri" w:hAnsi="Calibri" w:eastAsia="Calibri"/>
          <w:b w:val="0"/>
          <w:color w:val="5A6B6C"/>
          <w:sz w:val="20"/>
        </w:rPr>
        <w:t>El login actual es por alias sin contraseña (modo demo/desarrollo). En producción debe reforzarse con password y/o 2FA obligatorio.</w:t>
      </w:r>
    </w:p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13. Frontend y experiencia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6520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frontend/index.html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Landing marketing + demo</w:t>
            </w:r>
          </w:p>
        </w:tc>
      </w:tr>
      <w:tr>
        <w:tc>
          <w:tcPr>
            <w:tcW w:type="dxa" w:w="283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frontend/app.html</w:t>
            </w:r>
          </w:p>
        </w:tc>
        <w:tc>
          <w:tcPr>
            <w:tcW w:type="dxa" w:w="6520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Sistema completo (login + 8 módulos)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frontend/config.js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API_BASE: "/api/v1", USE_API: true</w:t>
            </w:r>
          </w:p>
        </w:tc>
      </w:tr>
    </w:tbl>
    <w:p/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0"/>
        </w:rPr>
        <w:t>Identidad visual: Deep #0E3B43 · Brand #2A8D92 · Accent #64C4BC.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2"/>
        </w:rPr>
        <w:t>Navegación: sidebar con módulos y bloque de cumplimiento; topbar con alias, nivel KYC, saldo, favoritos y campana de notificaciones. Lenguaje UX en español amigable.</w:t>
      </w:r>
    </w:p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14. Notificaciones y favoritos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5A6B6C"/>
          <w:sz w:val="20"/>
        </w:rPr>
        <w:t>Orígenes: auth · billing · checkout · membership · kyc · vault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Kind</w:t>
            </w:r>
          </w:p>
        </w:tc>
        <w:tc>
          <w:tcPr>
            <w:tcW w:type="dxa" w:w="5953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Cuándo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CHARGE_*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Cobro nuevo / dirigido / recordatorio</w:t>
            </w:r>
          </w:p>
        </w:tc>
      </w:tr>
      <w:tr>
        <w:tc>
          <w:tcPr>
            <w:tcW w:type="dxa" w:w="340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PAYMENT_* / DIRECT_PAYMENT_*</w:t>
            </w:r>
          </w:p>
        </w:tc>
        <w:tc>
          <w:tcPr>
            <w:tcW w:type="dxa" w:w="5953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Liquidación QR o pago directo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MEMBERSHIP_RECHARGE / BLOCKED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Saldo de membresía</w:t>
            </w:r>
          </w:p>
        </w:tc>
      </w:tr>
      <w:tr>
        <w:tc>
          <w:tcPr>
            <w:tcW w:type="dxa" w:w="3402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VAULT_ACCOUNT_ADDED</w:t>
            </w:r>
          </w:p>
        </w:tc>
        <w:tc>
          <w:tcPr>
            <w:tcW w:type="dxa" w:w="5953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Alta de CLABE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KYC_UPGRADE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Cambio de nivel</w:t>
            </w:r>
          </w:p>
        </w:tc>
      </w:tr>
    </w:tbl>
    <w:p/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2"/>
        </w:rPr>
        <w:t>Canal actual: solo in-app. Los «recordatorios WhatsApp» incrementan contador y notifican en app (sin gateway real).</w:t>
      </w:r>
    </w:p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15. Auditoría y cumplimiento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2"/>
        </w:rPr>
        <w:t>Cadena de integridad: hₙ = SHA256(hₙ₋₁ + timestamp|operator|action|category|ip|payload). Verificación vía GET /compliance/audit-logs/verify. Retención declarada ≥ 6 meses (SPEI) y 1 año (Canales Electrónicos).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2"/>
        </w:rPr>
        <w:t>Cada transacción expone vínculo CEP Banxico. Categorías: auth, kyc_change, vault_access, payment_initiation, membership, general.</w:t>
      </w:r>
    </w:p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16. Despliegue y operación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Modo</w:t>
            </w:r>
          </w:p>
        </w:tc>
        <w:tc>
          <w:tcPr>
            <w:tcW w:type="dxa" w:w="4535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Cómo</w:t>
            </w:r>
          </w:p>
        </w:tc>
        <w:tc>
          <w:tcPr>
            <w:tcW w:type="dxa" w:w="2551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Puerto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PM2 dev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ecosystem.config.js → uvicorn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3017</w:t>
            </w:r>
          </w:p>
        </w:tc>
      </w:tr>
      <w:tr>
        <w:tc>
          <w:tcPr>
            <w:tcW w:type="dxa" w:w="1984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Docker dev</w:t>
            </w:r>
          </w:p>
        </w:tc>
        <w:tc>
          <w:tcPr>
            <w:tcW w:type="dxa" w:w="453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docker-compose.yml</w:t>
            </w:r>
          </w:p>
        </w:tc>
        <w:tc>
          <w:tcPr>
            <w:tcW w:type="dxa" w:w="255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8000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Docker prod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docker-compose.prod.yml + Nginx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80/443</w:t>
            </w:r>
          </w:p>
        </w:tc>
      </w:tr>
      <w:tr>
        <w:tc>
          <w:tcPr>
            <w:tcW w:type="dxa" w:w="1984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Host-nginx</w:t>
            </w:r>
          </w:p>
        </w:tc>
        <w:tc>
          <w:tcPr>
            <w:tcW w:type="dxa" w:w="453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docker-compose.host.yml</w:t>
            </w:r>
          </w:p>
        </w:tc>
        <w:tc>
          <w:tcPr>
            <w:tcW w:type="dxa" w:w="255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3017→8000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16.1 Variables críticas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DATABASE_URL — Postgres o SQLite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AES_SECRET_KEY — cifrado bóveda / PII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JWT_SECRET — firma de sesión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JWT_EXPIRE_MIN — default 20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POSTGRES_* / REDIS_URL — compose</w:t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16.2 Checklist operativo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Health GET /api/health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Logs PM2/Docker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Backup Postgres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Verificar cadena de auditoría periódicamente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Revisar membresías blocked y topes KYC</w:t>
      </w:r>
    </w:p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5A6B6C"/>
          <w:sz w:val="20"/>
        </w:rPr>
        <w:t>Guía EC2: deploy/DEPLOY-AWS-EC2.md</w:t>
      </w:r>
    </w:p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17. Datos demo y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268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Alias</w:t>
            </w:r>
          </w:p>
        </w:tc>
        <w:tc>
          <w:tcPr>
            <w:tcW w:type="dxa" w:w="1417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020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KYC</w:t>
            </w:r>
          </w:p>
        </w:tc>
        <w:tc>
          <w:tcPr>
            <w:tcW w:type="dxa" w:w="1417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Membresía</w:t>
            </w:r>
          </w:p>
        </w:tc>
        <w:tc>
          <w:tcPr>
            <w:tcW w:type="dxa" w:w="3118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$@empresa.demo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Empresa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~$50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CLABE BBVA demo</w:t>
            </w:r>
          </w:p>
        </w:tc>
      </w:tr>
      <w:tr>
        <w:tc>
          <w:tcPr>
            <w:tcW w:type="dxa" w:w="226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$@juan.perez</w:t>
            </w:r>
          </w:p>
        </w:tc>
        <w:tc>
          <w:tcPr>
            <w:tcW w:type="dxa" w:w="141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PF</w:t>
            </w:r>
          </w:p>
        </w:tc>
        <w:tc>
          <w:tcPr>
            <w:tcW w:type="dxa" w:w="1020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2</w:t>
            </w:r>
          </w:p>
        </w:tc>
        <w:tc>
          <w:tcPr>
            <w:tcW w:type="dxa" w:w="141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~$20</w:t>
            </w:r>
          </w:p>
        </w:tc>
        <w:tc>
          <w:tcPr>
            <w:tcW w:type="dxa" w:w="311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$@maria.lopez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PF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$0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Sin operar hasta subir nivel</w:t>
            </w:r>
          </w:p>
        </w:tc>
      </w:tr>
    </w:tbl>
    <w:p/>
    <w:p>
      <w:pPr>
        <w:spacing w:after="160" w:line="240" w:lineRule="auto"/>
        <w:jc w:val="both"/>
      </w:pPr>
      <w:r>
        <w:rPr>
          <w:rFonts w:ascii="Calibri" w:hAnsi="Calibri" w:eastAsia="Calibri"/>
          <w:b w:val="0"/>
          <w:color w:val="0E3B43"/>
          <w:sz w:val="20"/>
        </w:rPr>
        <w:t>Login: solo alias. CLABE demo válida mod-10: 012180001234567895.</w:t>
      </w:r>
    </w:p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18. Estado actual vs producción Banxico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118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Estado actual</w:t>
            </w:r>
          </w:p>
        </w:tc>
        <w:tc>
          <w:tcPr>
            <w:tcW w:type="dxa" w:w="3685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Producción objetivo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Mensaje de Cobro / QR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Generado en app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Homologado con banco patrocinador</w:t>
            </w:r>
          </w:p>
        </w:tc>
      </w:tr>
      <w:tr>
        <w:tc>
          <w:tcPr>
            <w:tcW w:type="dxa" w:w="238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Liquidación SPEI/CoDi</w:t>
            </w:r>
          </w:p>
        </w:tc>
        <w:tc>
          <w:tcPr>
            <w:tcW w:type="dxa" w:w="311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Simulada en API</w:t>
            </w:r>
          </w:p>
        </w:tc>
        <w:tc>
          <w:tcPr>
            <w:tcW w:type="dxa" w:w="368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Riel Banxico vía PSPI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Clave de rastreo / CEP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Sintética + URL plantilla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Confirmación Banxico real</w:t>
            </w:r>
          </w:p>
        </w:tc>
      </w:tr>
      <w:tr>
        <w:tc>
          <w:tcPr>
            <w:tcW w:type="dxa" w:w="238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Recarga membresía</w:t>
            </w:r>
          </w:p>
        </w:tc>
        <w:tc>
          <w:tcPr>
            <w:tcW w:type="dxa" w:w="311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Crédito simulado</w:t>
            </w:r>
          </w:p>
        </w:tc>
        <w:tc>
          <w:tcPr>
            <w:tcW w:type="dxa" w:w="368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SPEI / medio de pago real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KYC documental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PENDING_VALIDATION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RENAPO / INE / e.firma</w:t>
            </w:r>
          </w:p>
        </w:tc>
      </w:tr>
      <w:tr>
        <w:tc>
          <w:tcPr>
            <w:tcW w:type="dxa" w:w="238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Validación CLABE</w:t>
            </w:r>
          </w:p>
        </w:tc>
        <w:tc>
          <w:tcPr>
            <w:tcW w:type="dxa" w:w="311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Mod-10 + alta inmediata</w:t>
            </w:r>
          </w:p>
        </w:tc>
        <w:tc>
          <w:tcPr>
            <w:tcW w:type="dxa" w:w="368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Titularidad bancaria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WhatsApp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Contador in-app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BSP / WhatsApp Business API</w:t>
            </w:r>
          </w:p>
        </w:tc>
      </w:tr>
      <w:tr>
        <w:tc>
          <w:tcPr>
            <w:tcW w:type="dxa" w:w="238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Auth password</w:t>
            </w:r>
          </w:p>
        </w:tc>
        <w:tc>
          <w:tcPr>
            <w:tcW w:type="dxa" w:w="311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No</w:t>
            </w:r>
          </w:p>
        </w:tc>
        <w:tc>
          <w:tcPr>
            <w:tcW w:type="dxa" w:w="368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Password + 2FA obligatorio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HSM/KMS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Clave en env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Custodia de llaves</w:t>
            </w:r>
          </w:p>
        </w:tc>
      </w:tr>
      <w:tr>
        <w:tc>
          <w:tcPr>
            <w:tcW w:type="dxa" w:w="2381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Regla 74a</w:t>
            </w:r>
          </w:p>
        </w:tc>
        <w:tc>
          <w:tcPr>
            <w:tcW w:type="dxa" w:w="311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Pendiente</w:t>
            </w:r>
          </w:p>
        </w:tc>
        <w:tc>
          <w:tcPr>
            <w:tcW w:type="dxa" w:w="368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Auditoría externa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19.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7087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PSPI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Proveedor de Servicios de Participación Indirecta en SPEI</w:t>
            </w:r>
          </w:p>
        </w:tc>
      </w:tr>
      <w:tr>
        <w:tc>
          <w:tcPr>
            <w:tcW w:type="dxa" w:w="226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CoDi</w:t>
            </w:r>
          </w:p>
        </w:tc>
        <w:tc>
          <w:tcPr>
            <w:tcW w:type="dxa" w:w="708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Cobro Digital Banxico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SPEI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Sistema de Pagos Electrónicos Interbancarios</w:t>
            </w:r>
          </w:p>
        </w:tc>
      </w:tr>
      <w:tr>
        <w:tc>
          <w:tcPr>
            <w:tcW w:type="dxa" w:w="226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Dimo</w:t>
            </w:r>
          </w:p>
        </w:tc>
        <w:tc>
          <w:tcPr>
            <w:tcW w:type="dxa" w:w="708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Dinero Móvil (asociación celular–cuenta)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CEP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Comprobante Electrónico de Pago Banxico</w:t>
            </w:r>
          </w:p>
        </w:tc>
      </w:tr>
      <w:tr>
        <w:tc>
          <w:tcPr>
            <w:tcW w:type="dxa" w:w="226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CLABE</w:t>
            </w:r>
          </w:p>
        </w:tc>
        <w:tc>
          <w:tcPr>
            <w:tcW w:type="dxa" w:w="708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Clave Bancaria Estandarizada (18 dígitos)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IFPE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Institución de Fondos de Pago Electrónico (custodia)</w:t>
            </w:r>
          </w:p>
        </w:tc>
      </w:tr>
      <w:tr>
        <w:tc>
          <w:tcPr>
            <w:tcW w:type="dxa" w:w="226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Sin captación</w:t>
            </w:r>
          </w:p>
        </w:tc>
        <w:tc>
          <w:tcPr>
            <w:tcW w:type="dxa" w:w="708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La app no recibe ni guarda dinero del público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Bóveda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Almacén cifrado de cuentas destino</w:t>
            </w:r>
          </w:p>
        </w:tc>
      </w:tr>
      <w:tr>
        <w:tc>
          <w:tcPr>
            <w:tcW w:type="dxa" w:w="226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Membresía</w:t>
            </w:r>
          </w:p>
        </w:tc>
        <w:tc>
          <w:tcPr>
            <w:tcW w:type="dxa" w:w="708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Saldo prepago para tarifa de software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Abono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Crédito recibido (usuario como payee)</w:t>
            </w:r>
          </w:p>
        </w:tc>
      </w:tr>
      <w:tr>
        <w:tc>
          <w:tcPr>
            <w:tcW w:type="dxa" w:w="2268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OPEN / TARGETED</w:t>
            </w:r>
          </w:p>
        </w:tc>
        <w:tc>
          <w:tcPr>
            <w:tcW w:type="dxa" w:w="7087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Cobro abierto vs dirigido a un alias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20. Referencias normativas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85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5669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Uso en el sistema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Circular 14/2017 Banxico (SPEI)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Reglas 58a, 71a, 72a; Apéndices AN, E, O</w:t>
            </w:r>
          </w:p>
        </w:tc>
      </w:tr>
      <w:tr>
        <w:tc>
          <w:tcPr>
            <w:tcW w:type="dxa" w:w="368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Circular 12/2019 Banxico (CoDi)</w:t>
            </w:r>
          </w:p>
        </w:tc>
        <w:tc>
          <w:tcPr>
            <w:tcW w:type="dxa" w:w="5669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Mensajes de cobro; Apéndice AD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Circular 9/2026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Homologación UX; sesión 20 min</w:t>
            </w:r>
          </w:p>
        </w:tc>
      </w:tr>
      <w:tr>
        <w:tc>
          <w:tcPr>
            <w:tcW w:type="dxa" w:w="368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Art. 115 LIC (referencia)</w:t>
            </w:r>
          </w:p>
        </w:tc>
        <w:tc>
          <w:tcPr>
            <w:tcW w:type="dxa" w:w="5669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Niveles / topes de abonos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Ley Fintech / LTOSF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Exclusión IFPE por no-custodia</w:t>
            </w:r>
          </w:p>
        </w:tc>
      </w:tr>
      <w:tr>
        <w:tc>
          <w:tcPr>
            <w:tcW w:type="dxa" w:w="368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Manual de operación SPEI §6</w:t>
            </w:r>
          </w:p>
        </w:tc>
        <w:tc>
          <w:tcPr>
            <w:tcW w:type="dxa" w:w="5669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Dígito verificador CLABE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3B43"/>
          <w:sz w:val="36"/>
        </w:rPr>
        <w:t>Anexos</w:t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Anexo A — Checklist de puesta en marcha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Variables DATABASE_URL, AES_SECRET_KEY, JWT_SECRET definidas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Migraciones aplicadas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Health OK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Usuario demo o primer registro creado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Al menos una CLABE en bóveda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Membresía con saldo &gt; 0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KYC ≥ 2 para operar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Probar: crear cobro → pagar → ver CEP/bitácora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Verificar cadena de auditoría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color w:val="0E3B43"/>
          <w:sz w:val="22"/>
        </w:rPr>
        <w:t>Backup de base de datos configurado</w:t>
      </w:r>
    </w:p>
    <w:p>
      <w:pPr>
        <w:pStyle w:val="Heading2"/>
      </w:pPr>
      <w:r>
        <w:rPr>
          <w:rFonts w:ascii="Calibri" w:hAnsi="Calibri" w:eastAsia="Calibri"/>
          <w:b/>
          <w:color w:val="2A8D92"/>
          <w:sz w:val="28"/>
        </w:rPr>
        <w:t>Anexo B — Documentos relacionados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85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5669"/>
            <w:shd w:fill="2A8D92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Ruta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Doc completa (Markdown)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docs/DOCUMENTACION-SISTEMA-COMPLETA.md</w:t>
            </w:r>
          </w:p>
        </w:tc>
      </w:tr>
      <w:tr>
        <w:tc>
          <w:tcPr>
            <w:tcW w:type="dxa" w:w="368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Doc técnica v1 (histórica)</w:t>
            </w:r>
          </w:p>
        </w:tc>
        <w:tc>
          <w:tcPr>
            <w:tcW w:type="dxa" w:w="5669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docs/DOCUMENTACION-TECNICA.md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Deploy AWS EC2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deploy/DEPLOY-AWS-EC2.md</w:t>
            </w:r>
          </w:p>
        </w:tc>
      </w:tr>
      <w:tr>
        <w:tc>
          <w:tcPr>
            <w:tcW w:type="dxa" w:w="3685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README proyecto</w:t>
            </w:r>
          </w:p>
        </w:tc>
        <w:tc>
          <w:tcPr>
            <w:tcW w:type="dxa" w:w="5669"/>
            <w:shd w:fill="F0F7F7" w:val="clear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README.md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OpenAPI vivo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E3B43"/>
                <w:sz w:val="18"/>
              </w:rPr>
              <w:t>http(s)://&lt;host&gt;/docs</w:t>
            </w:r>
          </w:p>
        </w:tc>
      </w:tr>
    </w:tbl>
    <w:p/>
    <w:p>
      <w:pPr>
        <w:spacing w:after="0" w:line="240" w:lineRule="auto"/>
        <w:jc w:val="center"/>
      </w:pPr>
      <w:r>
        <w:rPr>
          <w:rFonts w:ascii="Calibri" w:hAnsi="Calibri" w:eastAsia="Calibri"/>
          <w:b/>
          <w:color w:val="2A8D92"/>
          <w:sz w:val="20"/>
        </w:rPr>
        <w:t>— Fin del documento — Súper CLABE v2.0 · Agosto 2026 —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247" w:right="1247" w:bottom="1134" w:left="124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4" w:color="64C4BC"/>
      </w:pBdr>
    </w:pPr>
  </w:p>
  <w:tbl>
    <w:tblPr>
      <w:tblW w:type="auto" w:w="0"/>
      <w:tblLook w:firstColumn="1" w:firstRow="1" w:lastColumn="0" w:lastRow="0" w:noHBand="0" w:noVBand="1" w:val="04A0"/>
    </w:tblPr>
    <w:tblGrid>
      <w:gridCol w:w="4677"/>
      <w:gridCol w:w="4677"/>
    </w:tblGrid>
    <w:tr>
      <w:tc>
        <w:tcPr>
          <w:tcW w:type="dxa" w:w="4677"/>
        </w:tcPr>
        <w:p>
          <w:pPr>
            <w:jc w:val="left"/>
          </w:pPr>
          <w:r>
            <w:rPr>
              <w:rFonts w:ascii="Calibri" w:hAnsi="Calibri" w:eastAsia="Calibri"/>
              <w:b w:val="0"/>
              <w:color w:val="5A6B6C"/>
              <w:sz w:val="16"/>
            </w:rPr>
            <w:t>Confidencial — uso interno · PSPI · sin captación</w:t>
          </w:r>
        </w:p>
      </w:tc>
      <w:tc>
        <w:tcPr>
          <w:tcW w:type="dxa" w:w="4677"/>
        </w:tcPr>
        <w:p>
          <w:pPr>
            <w:jc w:val="center"/>
          </w:pPr>
          <w:r>
            <w:rPr>
              <w:rFonts w:ascii="Calibri" w:hAnsi="Calibri" w:eastAsia="Calibri"/>
              <w:b w:val="0"/>
              <w:color w:val="5A6B6C"/>
              <w:sz w:val="18"/>
            </w:rPr>
            <w:t xml:space="preserve">Página </w:t>
          </w:r>
          <w:r>
            <w:rPr>
              <w:rFonts w:ascii="Calibri" w:hAnsi="Calibri" w:eastAsia="Calibri"/>
              <w:b w:val="0"/>
              <w:color w:val="5A6B6C"/>
              <w:sz w:val="18"/>
            </w:rPr>
            <w:fldChar w:fldCharType="begin"/>
          </w:r>
          <w:r>
            <w:rPr>
              <w:rFonts w:ascii="Calibri" w:hAnsi="Calibri" w:eastAsia="Calibri"/>
              <w:b w:val="0"/>
              <w:color w:val="5A6B6C"/>
              <w:sz w:val="18"/>
            </w:rPr>
            <w:instrText xml:space="preserve"> PAGE </w:instrText>
          </w:r>
          <w:r>
            <w:rPr>
              <w:rFonts w:ascii="Calibri" w:hAnsi="Calibri" w:eastAsia="Calibri"/>
              <w:b w:val="0"/>
              <w:color w:val="5A6B6C"/>
              <w:sz w:val="18"/>
            </w:rPr>
            <w:fldChar w:fldCharType="end"/>
          </w:r>
          <w:r>
            <w:rPr>
              <w:rFonts w:ascii="Calibri" w:hAnsi="Calibri" w:eastAsia="Calibri"/>
              <w:b w:val="0"/>
              <w:color w:val="5A6B6C"/>
              <w:sz w:val="18"/>
            </w:rPr>
            <w:t xml:space="preserve"> de </w:t>
          </w:r>
          <w:r>
            <w:rPr>
              <w:rFonts w:ascii="Calibri" w:hAnsi="Calibri" w:eastAsia="Calibri"/>
              <w:b w:val="0"/>
              <w:color w:val="5A6B6C"/>
              <w:sz w:val="18"/>
            </w:rPr>
            <w:fldChar w:fldCharType="begin"/>
          </w:r>
          <w:r>
            <w:rPr>
              <w:rFonts w:ascii="Calibri" w:hAnsi="Calibri" w:eastAsia="Calibri"/>
              <w:b w:val="0"/>
              <w:color w:val="5A6B6C"/>
              <w:sz w:val="18"/>
            </w:rPr>
            <w:instrText xml:space="preserve"> NUMPAGES </w:instrText>
          </w:r>
          <w:r>
            <w:rPr>
              <w:rFonts w:ascii="Calibri" w:hAnsi="Calibri" w:eastAsia="Calibri"/>
              <w:b w:val="0"/>
              <w:color w:val="5A6B6C"/>
              <w:sz w:val="18"/>
            </w:rPr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A6B6C"/>
        <w:sz w:val="18"/>
      </w:rPr>
      <w:t>Súper CLABE · Agosto 2026 ·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77"/>
      <w:gridCol w:w="4677"/>
    </w:tblGrid>
    <w:tr>
      <w:tc>
        <w:tcPr>
          <w:tcW w:type="dxa" w:w="1814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36000" cy="51004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uperclabe-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51004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40"/>
        </w:tcPr>
        <w:p>
          <w:pPr>
            <w:jc w:val="right"/>
          </w:pPr>
          <w:r>
            <w:rPr>
              <w:rFonts w:ascii="Calibri" w:hAnsi="Calibri" w:eastAsia="Calibri"/>
              <w:b/>
              <w:color w:val="2A8D92"/>
              <w:sz w:val="22"/>
            </w:rPr>
            <w:t>Súper CLABE</w:t>
          </w:r>
          <w:r>
            <w:rPr>
              <w:rFonts w:ascii="Calibri" w:hAnsi="Calibri" w:eastAsia="Calibri"/>
              <w:b w:val="0"/>
              <w:color w:val="5A6B6C"/>
              <w:sz w:val="16"/>
            </w:rPr>
            <w:br/>
            <w:t>Documentación Técnica y Operativa</w:t>
          </w:r>
        </w:p>
      </w:tc>
    </w:tr>
  </w:tbl>
  <w:p>
    <w:pPr>
      <w:spacing w:before="40"/>
      <w:pBdr>
        <w:bottom w:val="single" w:sz="12" w:space="1" w:color="2A8D92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