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6"/>
          <w:szCs w:val="36"/>
        </w:rPr>
        <w:t xml:space="preserve">Event-driven research framework</w:t>
      </w:r>
    </w:p>
    <w:p>
      <w:pPr>
        <w:spacing w:after="60" w:before="0"/>
        <w:jc w:val="center"/>
      </w:pPr>
      <w:r>
        <w:rPr>
          <w:sz w:val="24"/>
          <w:szCs w:val="24"/>
        </w:rPr>
        <w:t xml:space="preserve">Step 1 pre-registration — sector: AI Infrastructure</w:t>
      </w:r>
    </w:p>
    <w:p>
      <w:pPr>
        <w:spacing w:after="360" w:before="0"/>
        <w:jc w:val="center"/>
      </w:pPr>
      <w:r>
        <w:rPr>
          <w:i/>
          <w:iCs/>
          <w:sz w:val="20"/>
          <w:szCs w:val="20"/>
        </w:rPr>
        <w:t xml:space="preserve">Lockfile date: 2026-05-10  ·  Owner: Prometeus  ·  Version: 1.0</w:t>
      </w:r>
    </w:p>
    <w:p>
      <w:pPr>
        <w:pStyle w:val="Heading1"/>
      </w:pPr>
      <w:r>
        <w:t xml:space="preserve">0. Lockfile statement</w:t>
      </w:r>
    </w:p>
    <w:p>
      <w:pPr>
        <w:spacing w:after="60" w:before="60"/>
      </w:pPr>
      <w:r>
        <w:rPr>
          <w:b/>
          <w:bCs/>
        </w:rPr>
        <w:t xml:space="preserve">Questo documento è un pre-registration lockfile. </w:t>
      </w:r>
      <w:r>
        <w:t xml:space="preserve">I parametri dichiarati di seguito sono fissati prima dell'osservazione dei dati di Step 1. Modifiche successive a questi parametri, dopo aver osservato risultati parziali o finali, invalidano statisticamente il run e devono essere documentate come iterazione separata con la propria timestamp.</w:t>
      </w:r>
    </w:p>
    <w:p>
      <w:pPr>
        <w:spacing w:after="60" w:before="60"/>
      </w:pPr>
      <w:r>
        <w:rPr>
          <w:b/>
          <w:bCs/>
        </w:rPr>
        <w:t xml:space="preserve">Commit timestamp: </w:t>
      </w:r>
      <w:r>
        <w:t xml:space="preserve">il file deve essere committato su git in data 2026-05-10 prima dell'inizio della raccolta dati. Hash del commit: da inserire dopo il commit.</w:t>
      </w:r>
    </w:p>
    <w:p>
      <w:pPr>
        <w:spacing w:after="60" w:before="60"/>
      </w:pPr>
      <w:r>
        <w:rPr>
          <w:b/>
          <w:bCs/>
        </w:rPr>
        <w:t xml:space="preserve">Autorità: </w:t>
      </w:r>
      <w:r>
        <w:t xml:space="preserve">nessuna delle decisioni qui pre-registrate può essere modificata in funzione di risultati osservati. Le iterazioni post-hoc sono permesse ma marcate come tali e non contano come validazione statistica.</w:t>
      </w:r>
    </w:p>
    <w:p>
      <w:pPr>
        <w:pStyle w:val="Heading1"/>
      </w:pPr>
      <w:r>
        <w:t xml:space="preserve">1. Tesi e ipotesi</w:t>
      </w:r>
    </w:p>
    <w:p>
      <w:pPr>
        <w:pStyle w:val="Heading2"/>
      </w:pPr>
      <w:r>
        <w:t xml:space="preserve">1.1 Tesi generale</w:t>
      </w:r>
    </w:p>
    <w:p>
      <w:pPr>
        <w:spacing w:after="60" w:before="60"/>
      </w:pPr>
      <w:r>
        <w:t xml:space="preserve">Esiste un edge tradabile residuo per un retail italiano, con vincoli operativi specifici (Fineco/Revolut, fuso orario europeo, monitoraggio 1-3h/settimana), su event-driven trading nel settore AI Infrastructure US, dove per "event-driven" si intende reazione a categorie di evento pre-definite e oggettivamente identificabili, non sentiment generico o hype.</w:t>
      </w:r>
    </w:p>
    <w:p>
      <w:pPr>
        <w:pStyle w:val="Heading2"/>
      </w:pPr>
      <w:r>
        <w:t xml:space="preserve">1.2 Ipotesi falsificabili</w:t>
      </w:r>
    </w:p>
    <w:p>
      <w:pPr>
        <w:spacing w:after="60" w:before="60"/>
      </w:pPr>
      <w:r>
        <w:t xml:space="preserve">Lo Step 1 testa simultaneamente le seguenti 5 ipotesi, una per ciascuna categoria di evento. Per ognuna l'ipotesi nulla H0 è "il pattern non produce alpha post-costi statisticamente significativo". L'ipotesi alternativa H1 è dichiarata sotto.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H1-A </w:t>
      </w:r>
      <w:r>
        <w:t xml:space="preserve">(Earnings PEAD): nei 60 giorni successivi a un earnings beat/miss, il ticker presenta drift CAR significativamente diverso da zero, post-costi.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H1-B </w:t>
      </w:r>
      <w:r>
        <w:t xml:space="preserve">(Hyperscaler PPA): l'annuncio di un Power Purchase Agreement tra hyperscaler e ticker dell'universe produce abnormal return positivo nei T+1 a T+20 giorni.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H1-C </w:t>
      </w:r>
      <w:r>
        <w:t xml:space="preserve">(Order intake): un comunicato stampa con order intake o backlog update produce abnormal return positivo predicibile nei T+1 a T+20 giorni.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H1-D </w:t>
      </w:r>
      <w:r>
        <w:t xml:space="preserve">(Sector shock): eventi macro che impattano l'intero settore (es. restrizioni export, blackout, policy GPU) producono pattern di reazione e mean-reversion stimabili.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H1-E </w:t>
      </w:r>
      <w:r>
        <w:t xml:space="preserve">(Analyst rating change): upgrade/downgrade di tier-1 banks con price target change &gt;10% produce abnormal return nei T+1 a T+5 giorni.</w:t>
      </w:r>
    </w:p>
    <w:p>
      <w:pPr>
        <w:pStyle w:val="Heading2"/>
      </w:pPr>
      <w:r>
        <w:t xml:space="preserve">1.3 Convinzione a priori (priors onesti)</w:t>
      </w:r>
    </w:p>
    <w:p>
      <w:pPr>
        <w:spacing w:after="60" w:before="60"/>
      </w:pPr>
      <w:r>
        <w:t xml:space="preserve">Sulla base della letteratura accademica 2024-2026 (Lopez-Lira &amp; Tang 2025, Sathish Kumar 2025, Panazan &amp; Gheorghe 2025), l'aspettativa onesta è che almeno una tra A e C produca segnale residuo, e che B/D/E siano meno probabili. Probabilità soggettiva di trovare almeno una H1 confermata: 25-30%. Questa stima è registrata come anchor a priori.</w:t>
      </w:r>
    </w:p>
    <w:p>
      <w:pPr>
        <w:pStyle w:val="Heading1"/>
      </w:pPr>
      <w:r>
        <w:t xml:space="preserve">2. Universe e benchmark</w:t>
      </w:r>
    </w:p>
    <w:p>
      <w:pPr>
        <w:pStyle w:val="Heading2"/>
      </w:pPr>
      <w:r>
        <w:t xml:space="preserve">2.1 Universe single-stock (8 ticker)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Ticker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Mercato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Vertiv Holdings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NYSE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Cooling/power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Eaton Corp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NYSE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Electrical distribution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GEV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 Vernova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NYSE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Generation/electrification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Quanta Services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NYSE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 construction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Constellation Energy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NASDAQ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Nuclear utility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Vistra Corp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NYSE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Generation/nuclear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Arista Networks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NYSE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networking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Modine Manufacturing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NYSE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Cooling alternative</w:t>
            </w:r>
          </w:p>
        </w:tc>
      </w:tr>
    </w:tbl>
    <w:p>
      <w:pPr>
        <w:pStyle w:val="Heading2"/>
      </w:pPr>
      <w:r>
        <w:t xml:space="preserve">2.2 Benchmark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Primary: </w:t>
      </w:r>
      <w:r>
        <w:t xml:space="preserve">XLK (SPDR Technology Select Sector). Usato per stimare beta di settore e calcolare abnormal returns.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Secondary: </w:t>
      </w:r>
      <w:r>
        <w:t xml:space="preserve">SPY (S&amp;P 500 ETF). Usato per validation cross-check.</w:t>
      </w:r>
    </w:p>
    <w:p>
      <w:pPr>
        <w:spacing w:after="60" w:before="60"/>
      </w:pPr>
      <w:r>
        <w:t xml:space="preserve">Rationale: il rischio strutturale è confondere alpha AI-specifico con beta tecnologico generico. XLK come primary spoglia questo confounding.</w:t>
      </w:r>
    </w:p>
    <w:p>
      <w:pPr>
        <w:pStyle w:val="Heading2"/>
      </w:pPr>
      <w:r>
        <w:t xml:space="preserve">2.3 Esclusioni dichiarate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REIT (DLR, EQIX): esclusi perché più rate-sensitive che AI-sensitive.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Schneider Electric, Siemens Energy: esclusi per evitare confounding industrial vs AI-specific.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Quantum computing, GLP-1, Defense Europe: esclusi (vedi pre-screening qualitativo).</w:t>
      </w:r>
    </w:p>
    <w:p>
      <w:pPr>
        <w:pStyle w:val="Heading1"/>
      </w:pPr>
      <w:r>
        <w:t xml:space="preserve">3. Categorie di evento e definizioni operative</w:t>
      </w:r>
    </w:p>
    <w:p>
      <w:pPr>
        <w:pStyle w:val="Heading3"/>
      </w:pPr>
      <w:r>
        <w:t xml:space="preserve">3.1 Categoria A — Earnings beats/misses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Definizione: </w:t>
      </w:r>
      <w:r>
        <w:t xml:space="preserve">EPS reported vs consensus IBES/Refinitiv il giorno del filing ufficiale.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Magnitude metric: </w:t>
      </w:r>
      <w:r>
        <w:t xml:space="preserve">Standardized Unexpected Earnings (SUE) = (actual − consensus) / std(consensus).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Soglia di evento: </w:t>
      </w:r>
      <w:r>
        <w:t xml:space="preserve">|SUE| &gt; 1.0 (top/bottom decile).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Fonte dati: </w:t>
      </w:r>
      <w:r>
        <w:t xml:space="preserve">yfinance earnings_dates + Yahoo Finance estimates, manualmente verificata su 3 ticker random per quality check.</w:t>
      </w:r>
    </w:p>
    <w:p>
      <w:pPr>
        <w:pStyle w:val="Heading3"/>
      </w:pPr>
      <w:r>
        <w:t xml:space="preserve">3.2 Categoria B — Hyperscaler PPA 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Definizione: </w:t>
      </w:r>
      <w:r>
        <w:t xml:space="preserve">Press release ufficiale di Microsoft, Meta, Amazon, Google, Oracle che annuncia un Power Purchase Agreement o data center deal con un ticker dell'universe (diretto o tramite controllata).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Magnitude metric: </w:t>
      </w:r>
      <w:r>
        <w:t xml:space="preserve">Binario (annuncio sì/no), con magnitudo qualitativa optional (deal size in MW se disponibile).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Fonte dati: </w:t>
      </w:r>
      <w:r>
        <w:t xml:space="preserve">Curato manualmente da press releases corporate + Reuters/Bloomberg news scrape.</w:t>
      </w:r>
    </w:p>
    <w:p>
      <w:pPr>
        <w:pStyle w:val="Heading3"/>
      </w:pPr>
      <w:r>
        <w:t xml:space="preserve">3.3 Categoria C — Order intake / contract 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Definizione: </w:t>
      </w:r>
      <w:r>
        <w:t xml:space="preserve">Comunicato stampa aziendale con annuncio di nuovo contratto rilevante, backlog update, o capacity expansion.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Magnitude metric: </w:t>
      </w:r>
      <w:r>
        <w:t xml:space="preserve">Deal value in USD se disclosed; altrimenti binario.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Soglia di evento: </w:t>
      </w:r>
      <w:r>
        <w:t xml:space="preserve">Deal &gt; $100M oppure backlog change &gt; 10%.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Fonte dati: </w:t>
      </w:r>
      <w:r>
        <w:t xml:space="preserve">Investor relations corporate (8-K filings SEC).</w:t>
      </w:r>
    </w:p>
    <w:p>
      <w:pPr>
        <w:pStyle w:val="Heading3"/>
      </w:pPr>
      <w:r>
        <w:t xml:space="preserve">3.4 Categoria D — Sector-wide shocks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Definizione: </w:t>
      </w:r>
      <w:r>
        <w:t xml:space="preserve">Eventi macro o policy che colpiscono l'intero settore AI infra simultaneamente. Es: nuovo limite export GPU verso Cina, restrizioni grid permission, blackout regionale rilevante, OPEC supply shock significativo.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Magnitude metric: </w:t>
      </w:r>
      <w:r>
        <w:t xml:space="preserve">Reazione di XLK nei T+0/T+1 come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Fonte dati: </w:t>
      </w:r>
      <w:r>
        <w:t xml:space="preserve">Curato manualmente da news headline (Reuters, FT).</w:t>
      </w:r>
    </w:p>
    <w:p>
      <w:pPr>
        <w:pStyle w:val="Heading3"/>
      </w:pPr>
      <w:r>
        <w:t xml:space="preserve">3.5 Categoria E — Analyst rating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Definizione: </w:t>
      </w:r>
      <w:r>
        <w:t xml:space="preserve">Upgrade o downgrade di rating da parte di tier-1 investment bank (Goldman Sachs, JP Morgan, Morgan Stanley, Bank of America, Citi, UBS).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Magnitude metric: </w:t>
      </w:r>
      <w:r>
        <w:t xml:space="preserve">Price target change come % del prezzo di chiusura precedente.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Soglia di evento: </w:t>
      </w:r>
      <w:r>
        <w:t xml:space="preserve">|Δ price target| &gt; 10%.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Fonte dati: </w:t>
      </w:r>
      <w:r>
        <w:t xml:space="preserve">Bloomberg consensus aggregator o equivalente; in absence, Yahoo Finance recommendations.</w:t>
      </w:r>
    </w:p>
    <w:p>
      <w:pPr>
        <w:pStyle w:val="Heading1"/>
      </w:pPr>
      <w:r>
        <w:t xml:space="preserve">4. Holding periods e windows</w:t>
      </w:r>
    </w:p>
    <w:p>
      <w:pPr>
        <w:spacing w:after="60" w:before="60"/>
      </w:pPr>
      <w:r>
        <w:t xml:space="preserve">Per ogni evento si calcolano abnormal returns nelle seguenti finestre temporali: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T+1: </w:t>
      </w:r>
      <w:r>
        <w:t xml:space="preserve">dal close del giorno dell'evento al close del giorno successivo.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T+5: </w:t>
      </w:r>
      <w:r>
        <w:t xml:space="preserve">5 trading days dopo l'evento.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T+20: </w:t>
      </w:r>
      <w:r>
        <w:t xml:space="preserve">approssimativamente un mese di trading.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T+60: </w:t>
      </w:r>
      <w:r>
        <w:t xml:space="preserve">approssimativamente tre mesi di trading.</w:t>
      </w:r>
    </w:p>
    <w:p>
      <w:pPr>
        <w:spacing w:after="60" w:before="60"/>
      </w:pPr>
      <w:r>
        <w:rPr>
          <w:b/>
          <w:bCs/>
        </w:rPr>
        <w:t xml:space="preserve">Esclusione esplicita: T+0 NON è incluso. </w:t>
      </w:r>
      <w:r>
        <w:t xml:space="preserve">Il retail italiano non può entrare alla close del giorno dell'evento US a causa del fuso orario. Includerlo creerebbe data leakage operativo.</w:t>
      </w:r>
    </w:p>
    <w:p>
      <w:pPr>
        <w:pStyle w:val="Heading1"/>
      </w:pPr>
      <w:r>
        <w:t xml:space="preserve">5. Modello di costi (binding)</w:t>
      </w:r>
    </w:p>
    <w:p>
      <w:pPr>
        <w:pStyle w:val="Heading2"/>
      </w:pPr>
      <w:r>
        <w:t xml:space="preserve">5.1 Commissioni Fineco USA</w:t>
      </w:r>
    </w:p>
    <w:p>
      <w:pPr>
        <w:spacing w:after="60" w:before="60"/>
      </w:pPr>
      <w:r>
        <w:t xml:space="preserve">Tutti gli abnormal returns sono calcolati post-costi. Il modello assume: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Commissione fissa Fineco per eseguito su mercato USA: $3.95 (approx €3.65).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Spread bid-ask realistico per single-stock USA mid-cap: 5-10 bps applicato simmetricamente entry/exit.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FX cost EUR/USD per trade: 15 bps applicato simmetricamente entry/exit (Fineco multivaluta).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Position size assunto per il calcolo: €1,000 per posizione (worst case per l'incidenza commissionale).</w:t>
      </w:r>
    </w:p>
    <w:p>
      <w:pPr>
        <w:pStyle w:val="Heading2"/>
      </w:pPr>
      <w:r>
        <w:t xml:space="preserve">5.2 Costo round-trip totale stimato</w:t>
      </w:r>
    </w:p>
    <w:p>
      <w:pPr>
        <w:spacing w:after="60" w:before="60"/>
      </w:pPr>
      <w:r>
        <w:t xml:space="preserve">Per €1,000 position size: ~75-100 bps round-trip totale. Tutti gli abnormal returns dichiarati nel report finale di Step 1 sono al netto di questo costo. Risultati gross-of-cost possono essere riportati come riferimento ma non come metric di decisione.</w:t>
      </w:r>
    </w:p>
    <w:p>
      <w:pPr>
        <w:pStyle w:val="Heading1"/>
      </w:pPr>
      <w:r>
        <w:t xml:space="preserve">6. Metodologia statistica</w:t>
      </w:r>
    </w:p>
    <w:p>
      <w:pPr>
        <w:pStyle w:val="Heading2"/>
      </w:pPr>
      <w:r>
        <w:t xml:space="preserve">6.1 Calcolo abnormal returns</w:t>
      </w:r>
    </w:p>
    <w:p>
      <w:pPr>
        <w:spacing w:after="60" w:before="60"/>
      </w:pPr>
      <w:r>
        <w:t xml:space="preserve">Per ogni evento al tempo t e ticker 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AR(i,t+k) = R(i,t+k) − β(i) × R(XLK,t+k)</w:t>
      </w:r>
      <w:r>
        <w:t xml:space="preserve">, dove β(i) è stimato su una rolling window di 252 giorni di trading precedenti l'evento, escludendo i 30 giorni immediatamente precedenti per evitare contamination.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CAR(i, [a,b]) = Σ AR(i,t+k) </w:t>
      </w:r>
      <w:r>
        <w:t xml:space="preserve">per k da a a b (cumulative abnormal return).</w:t>
      </w:r>
    </w:p>
    <w:p>
      <w:pPr>
        <w:pStyle w:val="Heading2"/>
      </w:pPr>
      <w:r>
        <w:t xml:space="preserve">6.2 Aggregazione per categoria</w:t>
      </w:r>
    </w:p>
    <w:p>
      <w:pPr>
        <w:spacing w:after="60" w:before="60"/>
      </w:pPr>
      <w:r>
        <w:t xml:space="preserve">Per ogni categoria c e holding window [a,b]: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mean_CAR(c, [a,b])</w:t>
      </w:r>
      <w:r>
        <w:t xml:space="preserve"> = media degli AR cumulativi su tutti gli eventi della categoria.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IC(c, [a,b])</w:t>
      </w:r>
      <w:r>
        <w:t xml:space="preserve"> = correlazione di Spearman tra magnitude dell'evento e CAR risultante.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hit_rate(c, [a,b])</w:t>
      </w:r>
      <w:r>
        <w:t xml:space="preserve"> = % di eventi con segno coerente con la tesi.</w:t>
      </w:r>
    </w:p>
    <w:p>
      <w:pPr>
        <w:pStyle w:val="Heading2"/>
      </w:pPr>
      <w:r>
        <w:t xml:space="preserve">6.3 Multiple testing correction</w:t>
      </w:r>
    </w:p>
    <w:p>
      <w:pPr>
        <w:spacing w:after="60" w:before="60"/>
      </w:pPr>
      <w:r>
        <w:rPr>
          <w:b/>
          <w:bCs/>
        </w:rPr>
        <w:t xml:space="preserve">Soglia base: </w:t>
      </w:r>
      <w:r>
        <w:t xml:space="preserve">IC &gt; 0.05 con p-value &lt; 0.05 (uncorrected).</w:t>
      </w:r>
    </w:p>
    <w:p>
      <w:pPr>
        <w:spacing w:after="60" w:before="60"/>
      </w:pPr>
      <w:r>
        <w:rPr>
          <w:b/>
          <w:bCs/>
        </w:rPr>
        <w:t xml:space="preserve">Correzione applicata: </w:t>
      </w:r>
      <w:r>
        <w:t xml:space="preserve">Benjamini-Hochberg (FDR) sui 5 test simultanei (uno per categoria).</w:t>
      </w:r>
    </w:p>
    <w:p>
      <w:pPr>
        <w:spacing w:after="60" w:before="60"/>
      </w:pPr>
      <w:r>
        <w:rPr>
          <w:b/>
          <w:bCs/>
        </w:rPr>
        <w:t xml:space="preserve">Soglia BH-corrected effettiva: </w:t>
      </w:r>
      <w:r>
        <w:t xml:space="preserve">approssimativamente p-value &lt; 0.071 (calcolata empiricamente dal dataset). L'IC threshold di 0.05 viene mantenuto, ma il p-value deve passare la correzione BH.</w:t>
      </w:r>
    </w:p>
    <w:p>
      <w:pPr>
        <w:spacing w:after="60" w:before="60"/>
      </w:pPr>
      <w:r>
        <w:rPr>
          <w:b/>
          <w:bCs/>
        </w:rPr>
        <w:t xml:space="preserve">Una combinazione (categoria × holding window) è considerata 'success' se: </w:t>
      </w:r>
      <w:r>
        <w:t xml:space="preserve">IC &gt; 0.05 AND BH-corrected p &lt; 0.05 AND hit_rate &gt; 55%.</w:t>
      </w:r>
    </w:p>
    <w:p>
      <w:pPr>
        <w:pStyle w:val="Heading2"/>
      </w:pPr>
      <w:r>
        <w:t xml:space="preserve">6.4 Confidence intervals e robustness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Bootstrap CI 95% (1000 resample) su ogni IC riportato.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Cross-validation temporale: split del dataset in pre-2025 e 2025-2026 per detection di decay.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Stability check: rimozione iterativa dei top 5 eventi per categoria per testare se l'IC è driven da outlier.</w:t>
      </w:r>
    </w:p>
    <w:p>
      <w:pPr>
        <w:pStyle w:val="Heading1"/>
      </w:pPr>
      <w:r>
        <w:t xml:space="preserve">7. Periodo dati e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Periodo: </w:t>
      </w:r>
      <w:r>
        <w:t xml:space="preserve">2023-01-01 → 2026-04-30 (40 mesi).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Trading days attesi: </w:t>
      </w:r>
      <w:r>
        <w:t xml:space="preserve">~840.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Eventi attesi totali: </w:t>
      </w:r>
      <w:r>
        <w:t xml:space="preserve">250-400 across 5 categorie e 8 ticker.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Granularità: </w:t>
      </w:r>
      <w:r>
        <w:t xml:space="preserve">daily close-to-close per AR computation.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Fonte primaria prezzi: </w:t>
      </w:r>
      <w:r>
        <w:t xml:space="preserve">yfinance (con sanity-check su 5 random ticker-date contro Yahoo Finance web).</w:t>
      </w:r>
    </w:p>
    <w:p>
      <w:pPr>
        <w:pStyle w:val="Heading1"/>
      </w:pPr>
      <w:r>
        <w:t xml:space="preserve">8. Decision tree post-Step 1 (binding)</w:t>
      </w:r>
    </w:p>
    <w:p>
      <w:pPr>
        <w:pStyle w:val="Heading2"/>
      </w:pPr>
      <w:r>
        <w:t xml:space="preserve">8.1 Scenario A — Step 1 POSITIVO</w:t>
      </w:r>
    </w:p>
    <w:p>
      <w:pPr>
        <w:spacing w:after="60" w:before="60"/>
      </w:pPr>
      <w:r>
        <w:rPr>
          <w:b/>
          <w:bCs/>
        </w:rPr>
        <w:t xml:space="preserve">Definizione di POSITIVO: </w:t>
      </w:r>
      <w:r>
        <w:t xml:space="preserve">almeno una combinazione (categoria × holding window) raggiunge IC &gt; 0.05 con BH-corrected p &lt; 0.05 e hit_rate &gt; 55%.</w:t>
      </w:r>
    </w:p>
    <w:p>
      <w:pPr>
        <w:spacing w:after="60" w:before="60"/>
      </w:pPr>
      <w:r>
        <w:rPr>
          <w:b/>
          <w:bCs/>
        </w:rPr>
        <w:t xml:space="preserve">Azione pre-registrata: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Step 2a (binding): </w:t>
      </w:r>
      <w:r>
        <w:t xml:space="preserve">Paper trading prospettico di 1 mese sulla combinazione vincente. Scopo: operational shakedown (validazione esecuzione, non statistical validation).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Step 2b (binding, condizionato a 2a): </w:t>
      </w:r>
      <w:r>
        <w:t xml:space="preserve">Live trading con cap massimo €5,000, allocato come 5-10 trade da €500-1,000 ciascuno sulla combinazione vincente. Per essere chiari: il paper trading di 1 mese è troppo breve per validare statisticamente l'edge — la validation è già lo Step 1. Il paper serve solo a verificare la pipeline operativa.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Position sizing: </w:t>
      </w:r>
      <w:r>
        <w:t xml:space="preserve">massimo 20% del cap (€1,000) per singolo trade.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Holding period live: </w:t>
      </w:r>
      <w:r>
        <w:t xml:space="preserve">uguale alla combinazione vincente di Step 1.</w:t>
      </w:r>
    </w:p>
    <w:p>
      <w:pPr>
        <w:pStyle w:val="Heading2"/>
      </w:pPr>
      <w:r>
        <w:t xml:space="preserve">8.2 Scenario B — Step 1 NEGATIVO</w:t>
      </w:r>
    </w:p>
    <w:p>
      <w:pPr>
        <w:spacing w:after="60" w:before="60"/>
      </w:pPr>
      <w:r>
        <w:rPr>
          <w:b/>
          <w:bCs/>
        </w:rPr>
        <w:t xml:space="preserve">Definizione di NEGATIVO: </w:t>
      </w:r>
      <w:r>
        <w:t xml:space="preserve">nessuna combinazione raggiunge la soglia di success.</w:t>
      </w:r>
    </w:p>
    <w:p>
      <w:pPr>
        <w:spacing w:after="60" w:before="60"/>
      </w:pPr>
      <w:r>
        <w:rPr>
          <w:b/>
          <w:bCs/>
        </w:rPr>
        <w:t xml:space="preserve">Azione pre-registrata: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Closure di AI Infrastructure: </w:t>
      </w:r>
      <w:r>
        <w:t xml:space="preserve">conclusione documentata, archivio del run, no live trading su AI Infra.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Apertura progetto separato Rare Earths: </w:t>
      </w:r>
      <w:r>
        <w:t xml:space="preserve">nuovo lockfile, nuova pre-registration, soglia di success indipendente (IC &gt; 0.05 BH-corrected sui 5 test del nuovo settore). Non è considerato continuation di AI Infra ai fini della multiple testing correction (sequential honest approach, vedi sezione 9).</w:t>
      </w:r>
    </w:p>
    <w:p>
      <w:pPr>
        <w:pStyle w:val="Heading2"/>
      </w:pPr>
      <w:r>
        <w:t xml:space="preserve">8.3 Scenario C — Risultato AMBIGUO</w:t>
      </w:r>
    </w:p>
    <w:p>
      <w:pPr>
        <w:spacing w:after="60" w:before="60"/>
      </w:pPr>
      <w:r>
        <w:rPr>
          <w:b/>
          <w:bCs/>
        </w:rPr>
        <w:t xml:space="preserve">Definizione di AMBIGUO: </w:t>
      </w:r>
      <w:r>
        <w:t xml:space="preserve">una o più combinazioni raggiungono IC &gt; 0.05 ma falliscono la BH correction; oppure superano BH ma con bootstrap CI che attraversa lo zero.</w:t>
      </w:r>
    </w:p>
    <w:p>
      <w:pPr>
        <w:spacing w:after="60" w:before="60"/>
      </w:pPr>
      <w:r>
        <w:rPr>
          <w:b/>
          <w:bCs/>
        </w:rPr>
        <w:t xml:space="preserve">Azione pre-registrata: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Closure di AI Infrastructure: </w:t>
      </w:r>
      <w:r>
        <w:t xml:space="preserve">ambiguo è trattato come negativo per evitare confirmation bias. Non sono permesse iterazioni post-hoc su holding periods o filtri di evento.</w:t>
      </w:r>
    </w:p>
    <w:p>
      <w:pPr>
        <w:pStyle w:val="Heading1"/>
      </w:pPr>
      <w:r>
        <w:t xml:space="preserve">9. Approccio multi-settore (Sequential Honest)</w:t>
      </w:r>
    </w:p>
    <w:p>
      <w:pPr>
        <w:spacing w:after="60" w:before="60"/>
      </w:pPr>
      <w:r>
        <w:rPr>
          <w:b/>
          <w:bCs/>
        </w:rPr>
        <w:t xml:space="preserve">Approccio scelto: A — Sequential Honest. </w:t>
      </w:r>
      <w:r>
        <w:t xml:space="preserve">AI Infrastructure è testato adesso in isolamento, con soglia BH-corrected ~0.071 (5 test simultanei). Rare Earths viene testato solo se AI Infra fallisce, come progetto separato con la propria pre-registration e la propria soglia.</w:t>
      </w:r>
    </w:p>
    <w:p>
      <w:pPr>
        <w:spacing w:after="60" w:before="60"/>
      </w:pPr>
      <w:r>
        <w:rPr>
          <w:b/>
          <w:bCs/>
        </w:rPr>
        <w:t xml:space="preserve">Implicazione statistica: </w:t>
      </w:r>
      <w:r>
        <w:t xml:space="preserve">la soglia di Step 1 per AI Infra è onesta, non gonfiata da future estensioni. Se Rare Earths viene testato in seguito, il suo p-value dovrà essere valutato in modo indipendente, ma con awareness che si è entrato in un secondo settore dopo aver fallito il primo (file drawer effect documentato nel report finale).</w:t>
      </w:r>
    </w:p>
    <w:p>
      <w:pPr>
        <w:spacing w:after="60" w:before="60"/>
      </w:pPr>
      <w:r>
        <w:rPr>
          <w:b/>
          <w:bCs/>
        </w:rPr>
        <w:t xml:space="preserve">Esclusione: </w:t>
      </w:r>
      <w:r>
        <w:t xml:space="preserve">non è permesso testare AI Infra e Rare Earths simultaneamente, né tornare su AI Infra dopo aver visto i risultati di Rare Earths. Le decisioni si chiudono nell'ordine in cui vengono prese.</w:t>
      </w:r>
    </w:p>
    <w:p>
      <w:pPr>
        <w:pStyle w:val="Heading1"/>
      </w:pPr>
      <w:r>
        <w:t xml:space="preserve">10. Risk budget e drawdown trigger (binding)</w:t>
      </w:r>
    </w:p>
    <w:p>
      <w:pPr>
        <w:pStyle w:val="Heading2"/>
      </w:pPr>
      <w:r>
        <w:t xml:space="preserve">10.1 Capital allocation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Pre-Step 1: </w:t>
      </w:r>
      <w:r>
        <w:t xml:space="preserve">€0 capitale a rischio (solo ricerca).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Paper trading 1 mese: </w:t>
      </w:r>
      <w:r>
        <w:t xml:space="preserve">€0 capitale reale.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 trading post-paper: </w:t>
      </w:r>
      <w:r>
        <w:t xml:space="preserve">massimo €5,000 cap totale, binding.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Niente leva, niente derivati, niente shorting.</w:t>
      </w:r>
    </w:p>
    <w:p>
      <w:pPr>
        <w:pStyle w:val="Heading2"/>
      </w:pPr>
      <w:r>
        <w:t xml:space="preserve">10.2 Drawdown trigger</w:t>
      </w:r>
    </w:p>
    <w:p>
      <w:pPr>
        <w:spacing w:after="60" w:before="60"/>
      </w:pPr>
      <w:r>
        <w:rPr>
          <w:b/>
          <w:bCs/>
        </w:rPr>
        <w:t xml:space="preserve">Trigger nominale: </w:t>
      </w:r>
      <w:r>
        <w:t xml:space="preserve">-30% dal capitale di partenza (€5,000 → €3,500). A questo livello scatta la review obbligatoria.</w:t>
      </w:r>
    </w:p>
    <w:p>
      <w:pPr>
        <w:spacing w:after="60" w:before="60"/>
      </w:pPr>
      <w:r>
        <w:rPr>
          <w:b/>
          <w:bCs/>
        </w:rPr>
        <w:t xml:space="preserve">Azione al trigger: "Continuo se la tesi originale tiene, fermo solo se rotta".</w:t>
      </w:r>
      <w:r>
        <w:t xml:space="preserve"> Questa azione richiede una definizione precisa di "tesi rotta". Definizione binding sotto.</w:t>
      </w:r>
    </w:p>
    <w:p>
      <w:pPr>
        <w:pStyle w:val="Heading2"/>
      </w:pPr>
      <w:r>
        <w:t xml:space="preserve">10.3 Definizione operativa di "tesi rotta"</w:t>
      </w:r>
    </w:p>
    <w:p>
      <w:pPr>
        <w:spacing w:after="60" w:before="60"/>
      </w:pPr>
      <w:r>
        <w:t xml:space="preserve">La tesi originale è considerata ROTTA se almeno una delle seguenti condizioni si verifica simultaneamente al raggiungimento del -30% drawdown: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Condizione 1 — Hit rate collasso: </w:t>
      </w:r>
      <w:r>
        <w:t xml:space="preserve">hit rate live cumulativo &lt; 40% su almeno 8 trade chiusi (vs 55% threshold dello Step 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Condizione 2 — Sign consistency: </w:t>
      </w:r>
      <w:r>
        <w:t xml:space="preserve">3 trade consecutivi nella categoria vincente di Step 1 hanno avuto CAR realizzato di segno opposto a quello atteso.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Condizione 3 — Magnitude collasso: </w:t>
      </w:r>
      <w:r>
        <w:t xml:space="preserve">mean CAR live sui trade chiusi &lt; 50% del mean CAR osservato in Step 1 sulla stessa categoria.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Condizione 4 — Macro regime change: </w:t>
      </w:r>
      <w:r>
        <w:t xml:space="preserve">XLK ha avuto drawdown &gt; 20% nello stesso periodo (il drawdown del Lab è dominato da beta tecnologico generico, non da fallimento dell'edge).</w:t>
      </w:r>
    </w:p>
    <w:p>
      <w:pPr>
        <w:spacing w:after="60" w:before="60"/>
      </w:pPr>
      <w:r>
        <w:rPr>
          <w:b/>
          <w:bCs/>
        </w:rPr>
        <w:t xml:space="preserve">Decisione al trigger:</w:t>
      </w:r>
      <w:r>
        <w:t xml:space="preserve"> se ALMENO UNA condizione 1-3 è soddisfatta → tesi ROTTA → closure immediata, niente capitale aggiuntivo, niente averaging down. Se solo la condizione 4 è soddisfatta → tesi tiene, riduzione cap a €2,500 (50%) e continuation per 30 giorni con re-evaluation. Se NESSUNA condizione → review qualitativa documentata e decisione esplicita scritta prima di procedere.</w:t>
      </w:r>
    </w:p>
    <w:p>
      <w:pPr>
        <w:pStyle w:val="Heading2"/>
      </w:pPr>
      <w:r>
        <w:t xml:space="preserve">10.4 Hard stop assoluto</w:t>
      </w:r>
    </w:p>
    <w:p>
      <w:pPr>
        <w:spacing w:after="60" w:before="60"/>
      </w:pPr>
      <w:r>
        <w:rPr>
          <w:b/>
          <w:bCs/>
        </w:rPr>
        <w:t xml:space="preserve">Sotto -50% drawdown: </w:t>
      </w:r>
      <w:r>
        <w:t xml:space="preserve">closure immediata indipendentemente dalle condizioni sopra. Nessuna eccezione. Nessun averaging down. Il -50% è il pavimento non negoziabile del Lab.</w:t>
      </w:r>
    </w:p>
    <w:p>
      <w:pPr>
        <w:pStyle w:val="Heading2"/>
      </w:pPr>
      <w:r>
        <w:t xml:space="preserve">10.5 Time stop</w:t>
      </w:r>
    </w:p>
    <w:p>
      <w:pPr>
        <w:spacing w:after="60" w:before="60"/>
      </w:pPr>
      <w:r>
        <w:rPr>
          <w:b/>
          <w:bCs/>
        </w:rPr>
        <w:t xml:space="preserve">12 mesi dal go-live: </w:t>
      </w:r>
      <w:r>
        <w:t xml:space="preserve">se a 12 mesi dal go-live il PnL netto è &lt; +5% post-costi, closure indipendentemente dal drawdown. La strategia ha avuto tempo sufficiente per performare.</w:t>
      </w:r>
    </w:p>
    <w:p>
      <w:pPr>
        <w:pStyle w:val="Heading1"/>
      </w:pPr>
      <w:r>
        <w:t xml:space="preserve">11. Anti-pattern dichiarati (cosa NON farò)</w:t>
      </w:r>
    </w:p>
    <w:p>
      <w:pPr>
        <w:spacing w:after="60" w:before="60"/>
      </w:pPr>
      <w:r>
        <w:t xml:space="preserve">Lista di pattern che il framework e l'operatore si impegnano esplicitamente a NON eseguire durante e dopo Step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NON aggiungere ticker all'universe dopo aver visto risultati parziali.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NON modificare le definizioni di evento dopo aver iniziato la raccolta dati.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NON aggiungere holding periods retrospettivamente per cercare segnale.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NON cambiare benchmark se XLK non produce il risultato sperato.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NON utilizzare sentiment LLM o social media nello Step 1 (l'evidenza letteratura 2024-2026 lo ha bocciato).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NON utilizzare T+0 come holding period (data leakage operativo per fuso orario).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NON considerare "quasi-success" (es. IC=0.045 con BH-corrected p=0.06) come success. Le soglie sono binarie.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NON saltare il paper trading di 1 mese anche se Step 1 è fortemente positivo.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NON superare €5,000 cap binding senza una nuova pre-registration v2.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NON modificare il drawdown trigger una volta che si è in drawdown.</w:t>
      </w:r>
    </w:p>
    <w:p>
      <w:pPr>
        <w:pStyle w:val="Heading1"/>
      </w:pPr>
      <w:r>
        <w:t xml:space="preserve">12. Domande aperte (da risolvere prima del coding)</w:t>
      </w:r>
    </w:p>
    <w:p>
      <w:pPr>
        <w:spacing w:after="60" w:before="60"/>
      </w:pPr>
      <w:r>
        <w:t xml:space="preserve">Le seguenti decisioni minori non sono pre-registrate e possono essere risolte durante l'implementazione, ma vanno documentate nel codice quando si scelgono: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Trattamento di eventi multipli sullo stesso ticker entro la holding window (overlapping events).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Gestione degli earnings che cadono in giorni di hyperscaler PPA (categoria A vs B conflict).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Definizione esatta di "tier-1 bank" per la categoria E (lista chiusa o euristica).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Trattamento di stock split o spinoff durante il periodo (correzione automatica via yfinance).</w:t>
      </w:r>
    </w:p>
    <w:p>
      <w:pPr>
        <w:pStyle w:val="Heading1"/>
      </w:pPr>
      <w:r>
        <w:t xml:space="preserve">13. Disclaimer</w:t>
      </w:r>
    </w:p>
    <w:p>
      <w:pPr>
        <w:spacing w:after="60" w:before="60"/>
      </w:pPr>
      <w:r>
        <w:t xml:space="preserve">Questo documento è un piano di ricerca personale. Non costituisce consulenza finanziaria, raccomandazione di investimento, o offerta di servizi. L'autore non è un consulente finanziario registrato CONSOB. Tutti i risultati di Step 1 saranno trattati come dati di ricerca, non come segnali di acquisto. Per qualunque allocazione di capitale reale superiore al cap binding di €5,000, è dichiarato l'intento di consultare un consulente finanziario indipendente registrato CONSOB prima di procedere.</w:t>
      </w:r>
    </w:p>
    <w:p>
      <w:pPr>
        <w:spacing w:after="0" w:before="48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Firma operativa</w:t>
      </w:r>
    </w:p>
    <w:p>
      <w:pPr>
        <w:spacing w:after="60" w:before="60"/>
      </w:pPr>
      <w:r>
        <w:t xml:space="preserve">Owner: Prometeus  ·  Data lockfile: 2026-05-10  ·  Git commit hash: ___________________</w:t>
      </w:r>
    </w:p>
    <w:p>
      <w:pPr>
        <w:spacing w:after="60" w:before="60"/>
      </w:pPr>
      <w:r>
        <w:t xml:space="preserve">Versione: 1.0  ·  Modifiche successive richiedono nuova versione e timestamp.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A556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2026-05-10T17:38:16.448Z</dcterms:created>
  <dcterms:modified xsi:type="dcterms:W3CDTF">2026-05-10T17:38:16.448Z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