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highlight w:val="yellow"/>
              </w:rPr>
            </w:pPr>
            <w:r w:rsidDel="00000000" w:rsidR="00000000" w:rsidRPr="00000000">
              <w:rPr>
                <w:rFonts w:ascii="Arial" w:cs="Arial" w:eastAsia="Arial" w:hAnsi="Arial"/>
                <w:b w:val="1"/>
                <w:sz w:val="18"/>
                <w:szCs w:val="18"/>
                <w:rtl w:val="0"/>
              </w:rPr>
              <w:t xml:space="preserve">To: </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color w:val="101423"/>
                <w:sz w:val="18"/>
                <w:szCs w:val="18"/>
                <w:rtl w:val="0"/>
              </w:rPr>
              <w:t xml:space="preserve">Love’s Legal Services, LLC DBA T</w:t>
            </w:r>
            <w:r w:rsidDel="00000000" w:rsidR="00000000" w:rsidRPr="00000000">
              <w:rPr>
                <w:rFonts w:ascii="Arial" w:cs="Arial" w:eastAsia="Arial" w:hAnsi="Arial"/>
                <w:color w:val="101423"/>
                <w:sz w:val="18"/>
                <w:szCs w:val="18"/>
                <w:rtl w:val="0"/>
              </w:rPr>
              <w:t xml:space="preserve">VC Pro-Driver</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Tax ID: </w:t>
            </w:r>
            <w:r w:rsidDel="00000000" w:rsidR="00000000" w:rsidRPr="00000000">
              <w:rPr>
                <w:rFonts w:ascii="Arial" w:cs="Arial" w:eastAsia="Arial" w:hAnsi="Arial"/>
                <w:sz w:val="18"/>
                <w:szCs w:val="18"/>
                <w:rtl w:val="0"/>
              </w:rPr>
              <w:t xml:space="preserve">93-28572324</w:t>
            </w:r>
            <w:r w:rsidDel="00000000" w:rsidR="00000000" w:rsidRPr="00000000">
              <w:rPr>
                <w:rtl w:val="0"/>
              </w:rPr>
            </w:r>
          </w:p>
          <w:p w:rsidR="00000000" w:rsidDel="00000000" w:rsidP="00000000" w:rsidRDefault="00000000" w:rsidRPr="00000000" w14:paraId="00000010">
            <w:pPr>
              <w:ind w:right="-14"/>
              <w:jc w:val="left"/>
              <w:rPr>
                <w:rFonts w:ascii="Arial" w:cs="Arial" w:eastAsia="Arial" w:hAnsi="Arial"/>
                <w:sz w:val="18"/>
                <w:szCs w:val="18"/>
                <w:shd w:fill="f1c232" w:val="clear"/>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14313 N. May Avenue, Oklahoma City, OK 73134</w:t>
            </w:r>
            <w:r w:rsidDel="00000000" w:rsidR="00000000" w:rsidRPr="00000000">
              <w:rPr>
                <w:rtl w:val="0"/>
              </w:rPr>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Crystal Stewart</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23</w:t>
            </w:r>
            <w:r w:rsidDel="00000000" w:rsidR="00000000" w:rsidRPr="00000000">
              <w:rPr>
                <w:rFonts w:ascii="Arial" w:cs="Arial" w:eastAsia="Arial" w:hAnsi="Arial"/>
                <w:sz w:val="18"/>
                <w:szCs w:val="18"/>
                <w:rtl w:val="0"/>
              </w:rPr>
              <w:t xml:space="preserve"> JAN 2024</w:t>
            </w:r>
          </w:p>
          <w:p w:rsidR="00000000" w:rsidDel="00000000" w:rsidP="00000000" w:rsidRDefault="00000000" w:rsidRPr="00000000" w14:paraId="00000014">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16 FEB 2024</w:t>
            </w:r>
          </w:p>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6">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7">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w:t>
      </w:r>
      <w:r w:rsidDel="00000000" w:rsidR="00000000" w:rsidRPr="00000000">
        <w:rPr>
          <w:rFonts w:ascii="Arial" w:cs="Arial" w:eastAsia="Arial" w:hAnsi="Arial"/>
          <w:sz w:val="18"/>
          <w:szCs w:val="18"/>
          <w:rtl w:val="0"/>
        </w:rPr>
        <w:t xml:space="preserve">as of February</w:t>
      </w:r>
      <w:r w:rsidDel="00000000" w:rsidR="00000000" w:rsidRPr="00000000">
        <w:rPr>
          <w:rFonts w:ascii="Arial" w:cs="Arial" w:eastAsia="Arial" w:hAnsi="Arial"/>
          <w:sz w:val="18"/>
          <w:szCs w:val="18"/>
          <w:rtl w:val="0"/>
        </w:rPr>
        <w:t xml:space="preserve"> 4, 2024</w:t>
      </w:r>
      <w:r w:rsidDel="00000000" w:rsidR="00000000" w:rsidRPr="00000000">
        <w:rPr>
          <w:rFonts w:ascii="Arial" w:cs="Arial" w:eastAsia="Arial" w:hAnsi="Arial"/>
          <w:sz w:val="18"/>
          <w:szCs w:val="18"/>
          <w:rtl w:val="0"/>
        </w:rPr>
        <w:t xml:space="preserve">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one (1) month, after which this Order Form will automatically renew for successive 1-month periods (each, a “Renewal Term” and, together with the Initial Term, the “Term”). Customer may terminate this Order Form on 30 days' written notice to Spreedly.</w:t>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third-party fee each time a payment card is updated. Spreedly will make reasonable efforts to notify Customers in advance of changes in third party fees.</w:t>
      </w:r>
    </w:p>
    <w:tbl>
      <w:tblPr>
        <w:tblStyle w:val="Table2"/>
        <w:tblpPr w:leftFromText="180" w:rightFromText="180" w:topFromText="180" w:bottomFromText="180" w:vertAnchor="text" w:horzAnchor="text" w:tblpX="0" w:tblpY="0"/>
        <w:tblW w:w="9930.0" w:type="dxa"/>
        <w:jc w:val="left"/>
        <w:tblInd w:w="746.0" w:type="dxa"/>
        <w:tblBorders>
          <w:top w:color="d7d2cd" w:space="0" w:sz="8" w:val="single"/>
          <w:left w:color="d7d2cd" w:space="0" w:sz="8" w:val="single"/>
          <w:bottom w:color="d7d2cd" w:space="0" w:sz="8" w:val="single"/>
          <w:right w:color="d7d2cd" w:space="0" w:sz="8" w:val="single"/>
          <w:insideH w:color="d7d2cd" w:space="0" w:sz="8" w:val="single"/>
          <w:insideV w:color="d7d2cd" w:space="0" w:sz="8" w:val="single"/>
        </w:tblBorders>
        <w:tblLayout w:type="fixed"/>
        <w:tblLook w:val="0400"/>
      </w:tblPr>
      <w:tblGrid>
        <w:gridCol w:w="675"/>
        <w:gridCol w:w="4950"/>
        <w:gridCol w:w="4305"/>
        <w:tblGridChange w:id="0">
          <w:tblGrid>
            <w:gridCol w:w="675"/>
            <w:gridCol w:w="4950"/>
            <w:gridCol w:w="4305"/>
          </w:tblGrid>
        </w:tblGridChange>
      </w:tblGrid>
    </w:tbl>
    <w:p w:rsidR="00000000" w:rsidDel="00000000" w:rsidP="00000000" w:rsidRDefault="00000000" w:rsidRPr="00000000" w14:paraId="0000001D">
      <w:pPr>
        <w:rPr>
          <w:sz w:val="24"/>
          <w:szCs w:val="24"/>
        </w:rPr>
      </w:pPr>
      <w:r w:rsidDel="00000000" w:rsidR="00000000" w:rsidRPr="00000000">
        <w:rPr>
          <w:rtl w:val="0"/>
        </w:rPr>
      </w:r>
    </w:p>
    <w:tbl>
      <w:tblPr>
        <w:tblStyle w:val="Table3"/>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160"/>
        <w:gridCol w:w="3420"/>
        <w:gridCol w:w="3705"/>
        <w:tblGridChange w:id="0">
          <w:tblGrid>
            <w:gridCol w:w="780"/>
            <w:gridCol w:w="2160"/>
            <w:gridCol w:w="3420"/>
            <w:gridCol w:w="3705"/>
          </w:tblGrid>
        </w:tblGridChange>
      </w:tblGrid>
      <w:tr>
        <w:trPr>
          <w:cantSplit w:val="0"/>
          <w:trHeight w:val="240" w:hRule="atLeast"/>
          <w:tblHeader w:val="0"/>
        </w:trPr>
        <w:tc>
          <w:tcPr>
            <w:gridSpan w:val="4"/>
            <w:tcBorders>
              <w:top w:color="d7d2cd" w:space="0" w:sz="6" w:val="single"/>
              <w:left w:color="d7d2cd" w:space="0" w:sz="6" w:val="single"/>
              <w:bottom w:color="000000" w:space="0" w:sz="0" w:val="nil"/>
              <w:right w:color="d7d2cd" w:space="0" w:sz="6" w:val="single"/>
            </w:tcBorders>
            <w:shd w:fill="0077c8" w:val="clear"/>
            <w:tcMar>
              <w:top w:w="0.0" w:type="dxa"/>
              <w:left w:w="0.0" w:type="dxa"/>
              <w:bottom w:w="0.0" w:type="dxa"/>
              <w:right w:w="0.0" w:type="dxa"/>
            </w:tcMar>
            <w:vAlign w:val="top"/>
          </w:tcPr>
          <w:p w:rsidR="00000000" w:rsidDel="00000000" w:rsidP="00000000" w:rsidRDefault="00000000" w:rsidRPr="00000000" w14:paraId="0000001E">
            <w:pPr>
              <w:ind w:left="140" w:righ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1</w:t>
            </w:r>
          </w:p>
        </w:tc>
      </w:tr>
      <w:tr>
        <w:trPr>
          <w:cantSplit w:val="0"/>
          <w:trHeight w:val="360" w:hRule="atLeast"/>
          <w:tblHeader w:val="0"/>
        </w:trPr>
        <w:tc>
          <w:tcPr>
            <w:tcBorders>
              <w:top w:color="000000" w:space="0" w:sz="0" w:val="nil"/>
              <w:left w:color="d7d2cd" w:space="0" w:sz="6" w:val="single"/>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2">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3">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4">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c>
          <w:tcPr>
            <w:tcBorders>
              <w:top w:color="000000" w:space="0" w:sz="0" w:val="nil"/>
              <w:left w:color="000000" w:space="0" w:sz="0" w:val="nil"/>
              <w:bottom w:color="000000" w:space="0" w:sz="0" w:val="nil"/>
              <w:right w:color="d7d2cd" w:space="0" w:sz="6" w:val="single"/>
            </w:tcBorders>
            <w:shd w:fill="a7e9e1" w:val="clear"/>
            <w:tcMar>
              <w:top w:w="0.0" w:type="dxa"/>
              <w:left w:w="100.0" w:type="dxa"/>
              <w:bottom w:w="0.0" w:type="dxa"/>
              <w:right w:w="100.0" w:type="dxa"/>
            </w:tcMar>
            <w:vAlign w:val="top"/>
          </w:tcPr>
          <w:p w:rsidR="00000000" w:rsidDel="00000000" w:rsidP="00000000" w:rsidRDefault="00000000" w:rsidRPr="00000000" w14:paraId="00000025">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Monthly Fee</w:t>
            </w:r>
          </w:p>
        </w:tc>
      </w:tr>
      <w:tr>
        <w:trPr>
          <w:cantSplit w:val="0"/>
          <w:trHeight w:val="33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c>
          <w:tcPr>
            <w:vMerge w:val="restart"/>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$500.00</w:t>
            </w:r>
          </w:p>
        </w:tc>
      </w:tr>
      <w:tr>
        <w:trPr>
          <w:cantSplit w:val="0"/>
          <w:trHeight w:val="27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85" w:hRule="atLeast"/>
          <w:tblHeader w:val="0"/>
        </w:trPr>
        <w:tc>
          <w:tcPr>
            <w:tcBorders>
              <w:top w:color="000000" w:space="0" w:sz="0" w:val="nil"/>
              <w:left w:color="d7d2cd" w:space="0" w:sz="6" w:val="single"/>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$0.020</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spacing w:after="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3) Payment</w:t>
      </w:r>
      <w:r w:rsidDel="00000000" w:rsidR="00000000" w:rsidRPr="00000000">
        <w:rPr>
          <w:rFonts w:ascii="Arial" w:cs="Arial" w:eastAsia="Arial" w:hAnsi="Arial"/>
          <w:sz w:val="18"/>
          <w:szCs w:val="18"/>
          <w:rtl w:val="0"/>
        </w:rPr>
        <w:t xml:space="preserve">. Customer will be invoiced monthly at the rate for the number of payment methods enrolled in the prior month as described in Section 2 or the minimum committed fee of $500.</w:t>
      </w:r>
    </w:p>
    <w:p w:rsidR="00000000" w:rsidDel="00000000" w:rsidP="00000000" w:rsidRDefault="00000000" w:rsidRPr="00000000" w14:paraId="00000036">
      <w:pPr>
        <w:tabs>
          <w:tab w:val="left" w:leader="none" w:pos="1080"/>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will pay all amounts due by credit card on file with Spreedly. Customer authorizes Spreedly to periodically charge the credit card on file for Spreedly service fees as stated in this Order Form. Customer will be subject to any additional terms presented by the third-party credit card payment processor and Customer is responsible for keeping such credit card information up to date.</w:t>
      </w:r>
    </w:p>
    <w:p w:rsidR="00000000" w:rsidDel="00000000" w:rsidP="00000000" w:rsidRDefault="00000000" w:rsidRPr="00000000" w14:paraId="0000003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spacing w:after="240" w:lineRule="auto"/>
        <w:rPr>
          <w:rFonts w:ascii="Arial" w:cs="Arial" w:eastAsia="Arial" w:hAnsi="Arial"/>
          <w:b w:val="1"/>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39">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4"/>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3B">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C">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3D">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E">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ind w:right="-14"/>
              <w:jc w:val="left"/>
              <w:rPr>
                <w:rFonts w:ascii="Arial" w:cs="Arial" w:eastAsia="Arial" w:hAnsi="Arial"/>
                <w:b w:val="1"/>
                <w:sz w:val="18"/>
                <w:szCs w:val="18"/>
              </w:rPr>
            </w:pPr>
            <w:r w:rsidDel="00000000" w:rsidR="00000000" w:rsidRPr="00000000">
              <w:rPr>
                <w:rFonts w:ascii="Arial" w:cs="Arial" w:eastAsia="Arial" w:hAnsi="Arial"/>
                <w:b w:val="1"/>
                <w:color w:val="101423"/>
                <w:sz w:val="18"/>
                <w:szCs w:val="18"/>
                <w:rtl w:val="0"/>
              </w:rPr>
              <w:t xml:space="preserve">TVC Holding DBA TVC PRO-DRIVER</w:t>
            </w:r>
            <w:r w:rsidDel="00000000" w:rsidR="00000000" w:rsidRPr="00000000">
              <w:rPr>
                <w:rtl w:val="0"/>
              </w:rPr>
            </w:r>
          </w:p>
          <w:p w:rsidR="00000000" w:rsidDel="00000000" w:rsidP="00000000" w:rsidRDefault="00000000" w:rsidRPr="00000000" w14:paraId="00000041">
            <w:pPr>
              <w:tabs>
                <w:tab w:val="left" w:leader="none" w:pos="547"/>
                <w:tab w:val="left" w:leader="none" w:pos="1620"/>
              </w:tabs>
              <w:spacing w:line="264" w:lineRule="auto"/>
              <w:rPr>
                <w:rFonts w:ascii="Roboto" w:cs="Roboto" w:eastAsia="Roboto" w:hAnsi="Roboto"/>
                <w:b w:val="1"/>
                <w:color w:val="181818"/>
                <w:sz w:val="18"/>
                <w:szCs w:val="18"/>
                <w:highlight w:val="white"/>
              </w:rPr>
            </w:pPr>
            <w:r w:rsidDel="00000000" w:rsidR="00000000" w:rsidRPr="00000000">
              <w:rPr>
                <w:rtl w:val="0"/>
              </w:rPr>
            </w:r>
          </w:p>
          <w:p w:rsidR="00000000" w:rsidDel="00000000" w:rsidP="00000000" w:rsidRDefault="00000000" w:rsidRPr="00000000" w14:paraId="00000042">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4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4A">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4C">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59">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74115" cy="711200"/>
              <wp:effectExtent b="0" l="0" r="0" t="0"/>
              <wp:wrapNone/>
              <wp:docPr id="3"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74115" cy="7112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74115" cy="711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17</wp:posOffset>
          </wp:positionH>
          <wp:positionV relativeFrom="paragraph">
            <wp:posOffset>-28557</wp:posOffset>
          </wp:positionV>
          <wp:extent cx="1405956" cy="322799"/>
          <wp:effectExtent b="0" l="0" r="0" t="0"/>
          <wp:wrapNone/>
          <wp:docPr id="4" name="image1.jpg"/>
          <a:graphic>
            <a:graphicData uri="http://schemas.openxmlformats.org/drawingml/2006/picture">
              <pic:pic>
                <pic:nvPicPr>
                  <pic:cNvPr id="0" name="image1.jpg"/>
                  <pic:cNvPicPr preferRelativeResize="0"/>
                </pic:nvPicPr>
                <pic:blipFill>
                  <a:blip r:embed="rId1"/>
                  <a:srcRect b="0" l="20" r="19"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nOVMXCHeJ5ofeEK6G08VWTS3A==">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