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680"/>
          <w:tab w:val="right" w:leader="none" w:pos="10800"/>
        </w:tabs>
        <w:ind w:left="3240" w:firstLine="0"/>
        <w:rPr>
          <w:b w:val="1"/>
          <w:sz w:val="24"/>
          <w:szCs w:val="24"/>
        </w:rPr>
      </w:pPr>
      <w:r w:rsidDel="00000000" w:rsidR="00000000" w:rsidRPr="00000000">
        <w:rPr>
          <w:rFonts w:ascii="Arial" w:cs="Arial" w:eastAsia="Arial" w:hAnsi="Arial"/>
          <w:sz w:val="16"/>
          <w:szCs w:val="16"/>
          <w:rtl w:val="0"/>
        </w:rPr>
        <w:t xml:space="preserve">     </w:t>
        <w:tab/>
      </w:r>
      <w:r w:rsidDel="00000000" w:rsidR="00000000" w:rsidRPr="00000000">
        <w:rPr>
          <w:rtl w:val="0"/>
        </w:rPr>
      </w:r>
    </w:p>
    <w:p w:rsidR="00000000" w:rsidDel="00000000" w:rsidP="00000000" w:rsidRDefault="00000000" w:rsidRPr="00000000" w14:paraId="00000002">
      <w:pPr>
        <w:tabs>
          <w:tab w:val="left" w:leader="none" w:pos="0"/>
        </w:tabs>
        <w:spacing w:before="10"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ORDER FORM #2</w:t>
      </w:r>
    </w:p>
    <w:p w:rsidR="00000000" w:rsidDel="00000000" w:rsidP="00000000" w:rsidRDefault="00000000" w:rsidRPr="00000000" w14:paraId="00000003">
      <w:pPr>
        <w:tabs>
          <w:tab w:val="left" w:leader="none" w:pos="0"/>
        </w:tabs>
        <w:spacing w:before="10" w:lineRule="auto"/>
        <w:ind w:right="-20"/>
        <w:jc w:val="cente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04">
      <w:pPr>
        <w:tabs>
          <w:tab w:val="left" w:leader="none" w:pos="0"/>
        </w:tabs>
        <w:spacing w:before="10"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Advanced Vault</w:t>
      </w:r>
      <w:r w:rsidDel="00000000" w:rsidR="00000000" w:rsidRPr="00000000">
        <w:rPr>
          <w:rtl w:val="0"/>
        </w:rPr>
      </w:r>
    </w:p>
    <w:p w:rsidR="00000000" w:rsidDel="00000000" w:rsidP="00000000" w:rsidRDefault="00000000" w:rsidRPr="00000000" w14:paraId="00000005">
      <w:pPr>
        <w:spacing w:after="160" w:lineRule="auto"/>
        <w:ind w:right="-14"/>
        <w:jc w:val="left"/>
        <w:rPr>
          <w:rFonts w:ascii="Arial" w:cs="Arial" w:eastAsia="Arial" w:hAnsi="Arial"/>
          <w:b w:val="1"/>
          <w:sz w:val="18"/>
          <w:szCs w:val="18"/>
        </w:rPr>
      </w:pPr>
      <w:r w:rsidDel="00000000" w:rsidR="00000000" w:rsidRPr="00000000">
        <w:rPr>
          <w:rtl w:val="0"/>
        </w:rPr>
      </w:r>
    </w:p>
    <w:tbl>
      <w:tblPr>
        <w:tblStyle w:val="Table1"/>
        <w:tblW w:w="1008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98"/>
        <w:gridCol w:w="2421"/>
        <w:gridCol w:w="3361"/>
        <w:tblGridChange w:id="0">
          <w:tblGrid>
            <w:gridCol w:w="4298"/>
            <w:gridCol w:w="2421"/>
            <w:gridCol w:w="3361"/>
          </w:tblGrid>
        </w:tblGridChange>
      </w:tblGrid>
      <w:tr>
        <w:trPr>
          <w:cantSplit w:val="0"/>
          <w:tblHeader w:val="0"/>
        </w:trPr>
        <w:tc>
          <w:tcPr/>
          <w:p w:rsidR="00000000" w:rsidDel="00000000" w:rsidP="00000000" w:rsidRDefault="00000000" w:rsidRPr="00000000" w14:paraId="00000006">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07">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300 Morris Street</w:t>
            </w:r>
          </w:p>
          <w:p w:rsidR="00000000" w:rsidDel="00000000" w:rsidP="00000000" w:rsidRDefault="00000000" w:rsidRPr="00000000" w14:paraId="00000008">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Suite 400</w:t>
            </w:r>
          </w:p>
          <w:p w:rsidR="00000000" w:rsidDel="00000000" w:rsidP="00000000" w:rsidRDefault="00000000" w:rsidRPr="00000000" w14:paraId="00000009">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Durham, NC 27701</w:t>
            </w:r>
          </w:p>
          <w:p w:rsidR="00000000" w:rsidDel="00000000" w:rsidP="00000000" w:rsidRDefault="00000000" w:rsidRPr="00000000" w14:paraId="0000000A">
            <w:pPr>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B">
            <w:pPr>
              <w:spacing w:after="160" w:lineRule="auto"/>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C">
            <w:pPr>
              <w:spacing w:after="160" w:lineRule="auto"/>
              <w:ind w:right="-14"/>
              <w:jc w:val="left"/>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0D">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To:</w:t>
            </w:r>
          </w:p>
          <w:p w:rsidR="00000000" w:rsidDel="00000000" w:rsidP="00000000" w:rsidRDefault="00000000" w:rsidRPr="00000000" w14:paraId="0000000E">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Customer Legal Name: </w:t>
            </w:r>
            <w:r w:rsidDel="00000000" w:rsidR="00000000" w:rsidRPr="00000000">
              <w:rPr>
                <w:rFonts w:ascii="Arial" w:cs="Arial" w:eastAsia="Arial" w:hAnsi="Arial"/>
                <w:sz w:val="18"/>
                <w:szCs w:val="18"/>
                <w:rtl w:val="0"/>
              </w:rPr>
              <w:t xml:space="preserve">Hagerty Management, LLC</w:t>
            </w:r>
            <w:r w:rsidDel="00000000" w:rsidR="00000000" w:rsidRPr="00000000">
              <w:rPr>
                <w:rtl w:val="0"/>
              </w:rPr>
            </w:r>
          </w:p>
          <w:p w:rsidR="00000000" w:rsidDel="00000000" w:rsidP="00000000" w:rsidRDefault="00000000" w:rsidRPr="00000000" w14:paraId="0000000F">
            <w:pPr>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Billing Address: </w:t>
            </w:r>
            <w:r w:rsidDel="00000000" w:rsidR="00000000" w:rsidRPr="00000000">
              <w:rPr>
                <w:rFonts w:ascii="Arial" w:cs="Arial" w:eastAsia="Arial" w:hAnsi="Arial"/>
                <w:sz w:val="18"/>
                <w:szCs w:val="18"/>
                <w:rtl w:val="0"/>
              </w:rPr>
              <w:t xml:space="preserve">141 Rivers Edge Drive, #200</w:t>
            </w:r>
          </w:p>
          <w:p w:rsidR="00000000" w:rsidDel="00000000" w:rsidP="00000000" w:rsidRDefault="00000000" w:rsidRPr="00000000" w14:paraId="00000010">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Traverse City, MI 49684</w:t>
            </w:r>
          </w:p>
          <w:p w:rsidR="00000000" w:rsidDel="00000000" w:rsidP="00000000" w:rsidRDefault="00000000" w:rsidRPr="00000000" w14:paraId="00000011">
            <w:pPr>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Sales Rep: </w:t>
            </w:r>
            <w:r w:rsidDel="00000000" w:rsidR="00000000" w:rsidRPr="00000000">
              <w:rPr>
                <w:rFonts w:ascii="Arial" w:cs="Arial" w:eastAsia="Arial" w:hAnsi="Arial"/>
                <w:sz w:val="18"/>
                <w:szCs w:val="18"/>
                <w:rtl w:val="0"/>
              </w:rPr>
              <w:t xml:space="preserve">John Reed</w:t>
            </w:r>
          </w:p>
        </w:tc>
        <w:tc>
          <w:tcPr/>
          <w:p w:rsidR="00000000" w:rsidDel="00000000" w:rsidP="00000000" w:rsidRDefault="00000000" w:rsidRPr="00000000" w14:paraId="00000012">
            <w:pPr>
              <w:spacing w:after="160" w:lineRule="auto"/>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13">
            <w:pPr>
              <w:spacing w:after="160" w:lineRule="auto"/>
              <w:ind w:right="-14"/>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4">
            <w:pPr>
              <w:spacing w:after="160" w:lineRule="auto"/>
              <w:ind w:right="-14"/>
              <w:jc w:val="left"/>
              <w:rPr>
                <w:rFonts w:ascii="Arial" w:cs="Arial" w:eastAsia="Arial" w:hAnsi="Arial"/>
                <w:b w:val="1"/>
                <w:sz w:val="18"/>
                <w:szCs w:val="18"/>
              </w:rPr>
            </w:pPr>
            <w:r w:rsidDel="00000000" w:rsidR="00000000" w:rsidRPr="00000000">
              <w:rPr>
                <w:rtl w:val="0"/>
              </w:rPr>
            </w:r>
          </w:p>
        </w:tc>
      </w:tr>
    </w:tbl>
    <w:p w:rsidR="00000000" w:rsidDel="00000000" w:rsidP="00000000" w:rsidRDefault="00000000" w:rsidRPr="00000000" w14:paraId="00000015">
      <w:pPr>
        <w:spacing w:after="160" w:lineRule="auto"/>
        <w:ind w:right="-14"/>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6">
      <w:pPr>
        <w:spacing w:after="160" w:lineRule="auto"/>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This Order Form is entered into between the entity identified above as “Customer” and Spreedly, Inc. (each a “Party” and collectively, the “Parties”) as of the last day it is signed (the “Order Form Effective Date”) and is subject to the Agreement (defined below) which is hereby incorporated by reference. For purposes of this Order Form, “Agreement” means the  Services Agreement (a “SA”) currently in force between the Parties dated September 30, 2020. </w:t>
      </w:r>
    </w:p>
    <w:p w:rsidR="00000000" w:rsidDel="00000000" w:rsidP="00000000" w:rsidRDefault="00000000" w:rsidRPr="00000000" w14:paraId="00000017">
      <w:pPr>
        <w:rPr>
          <w:rFonts w:ascii="Arial" w:cs="Arial" w:eastAsia="Arial" w:hAnsi="Arial"/>
          <w:sz w:val="18"/>
          <w:szCs w:val="18"/>
        </w:rPr>
      </w:pPr>
      <w:r w:rsidDel="00000000" w:rsidR="00000000" w:rsidRPr="00000000">
        <w:rPr>
          <w:rFonts w:ascii="Arial" w:cs="Arial" w:eastAsia="Arial" w:hAnsi="Arial"/>
          <w:sz w:val="18"/>
          <w:szCs w:val="18"/>
          <w:rtl w:val="0"/>
        </w:rPr>
        <w:t xml:space="preserve">In the event of any conflict between the terms of the Agreement and this Order Form, this Order Form will govern. Capitalized terms used but not defined in this Order Form have the meanings set forth in the Agreement or in the applicable documentation.</w:t>
      </w:r>
    </w:p>
    <w:p w:rsidR="00000000" w:rsidDel="00000000" w:rsidP="00000000" w:rsidRDefault="00000000" w:rsidRPr="00000000" w14:paraId="00000018">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9">
      <w:pPr>
        <w:tabs>
          <w:tab w:val="left" w:leader="none" w:pos="547"/>
          <w:tab w:val="left" w:leader="none" w:pos="1620"/>
        </w:tabs>
        <w:spacing w:line="264"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 Order Form Term. </w:t>
      </w:r>
      <w:r w:rsidDel="00000000" w:rsidR="00000000" w:rsidRPr="00000000">
        <w:rPr>
          <w:rFonts w:ascii="Arial" w:cs="Arial" w:eastAsia="Arial" w:hAnsi="Arial"/>
          <w:sz w:val="18"/>
          <w:szCs w:val="18"/>
          <w:rtl w:val="0"/>
        </w:rPr>
        <w:t xml:space="preserve">The Initial Term of this Order Form is </w:t>
      </w:r>
      <w:sdt>
        <w:sdtPr>
          <w:tag w:val="goog_rdk_0"/>
        </w:sdtPr>
        <w:sdtContent>
          <w:commentRangeStart w:id="0"/>
        </w:sdtContent>
      </w:sdt>
      <w:r w:rsidDel="00000000" w:rsidR="00000000" w:rsidRPr="00000000">
        <w:rPr>
          <w:rFonts w:ascii="Arial" w:cs="Arial" w:eastAsia="Arial" w:hAnsi="Arial"/>
          <w:sz w:val="18"/>
          <w:szCs w:val="18"/>
          <w:highlight w:val="yellow"/>
          <w:rtl w:val="0"/>
        </w:rPr>
        <w:t xml:space="preserve">[TERM]</w:t>
      </w:r>
      <w:r w:rsidDel="00000000" w:rsidR="00000000" w:rsidRPr="00000000">
        <w:rPr>
          <w:rFonts w:ascii="Arial" w:cs="Arial" w:eastAsia="Arial" w:hAnsi="Arial"/>
          <w:sz w:val="18"/>
          <w:szCs w:val="18"/>
          <w:rtl w:val="0"/>
        </w:rPr>
        <w:t xml:space="preserve"> </w:t>
      </w:r>
      <w:commentRangeEnd w:id="0"/>
      <w:r w:rsidDel="00000000" w:rsidR="00000000" w:rsidRPr="00000000">
        <w:commentReference w:id="0"/>
      </w:r>
      <w:r w:rsidDel="00000000" w:rsidR="00000000" w:rsidRPr="00000000">
        <w:rPr>
          <w:rFonts w:ascii="Arial" w:cs="Arial" w:eastAsia="Arial" w:hAnsi="Arial"/>
          <w:sz w:val="18"/>
          <w:szCs w:val="18"/>
          <w:rtl w:val="0"/>
        </w:rPr>
        <w:t xml:space="preserve">months, after which this Order Form will automatically renew for successive 12-month periods (each, a “Renewal Term” and, together with the Initial Term, the “Term”) unless either party has provided written notice of its intent to not renew not less than sixty (60) days prior to the expiration of the then-current Initial or Renewal Term. Each 12 months of service is a “Contract Year”.</w:t>
      </w:r>
      <w:r w:rsidDel="00000000" w:rsidR="00000000" w:rsidRPr="00000000">
        <w:rPr>
          <w:rtl w:val="0"/>
        </w:rPr>
      </w:r>
    </w:p>
    <w:p w:rsidR="00000000" w:rsidDel="00000000" w:rsidP="00000000" w:rsidRDefault="00000000" w:rsidRPr="00000000" w14:paraId="0000001A">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B">
      <w:pPr>
        <w:tabs>
          <w:tab w:val="left" w:leader="none" w:pos="547"/>
          <w:tab w:val="left" w:leader="none" w:pos="1620"/>
        </w:tabs>
        <w:spacing w:line="264"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2</w:t>
      </w:r>
      <w:r w:rsidDel="00000000" w:rsidR="00000000" w:rsidRPr="00000000">
        <w:rPr>
          <w:rFonts w:ascii="Arial" w:cs="Arial" w:eastAsia="Arial" w:hAnsi="Arial"/>
          <w:b w:val="1"/>
          <w:sz w:val="18"/>
          <w:szCs w:val="18"/>
          <w:rtl w:val="0"/>
        </w:rPr>
        <w:t xml:space="preserve">) Advanced Vault. </w:t>
      </w:r>
      <w:r w:rsidDel="00000000" w:rsidR="00000000" w:rsidRPr="00000000">
        <w:rPr>
          <w:rFonts w:ascii="Arial" w:cs="Arial" w:eastAsia="Arial" w:hAnsi="Arial"/>
          <w:sz w:val="18"/>
          <w:szCs w:val="18"/>
          <w:rtl w:val="0"/>
        </w:rPr>
        <w:t xml:space="preserve">Spreedly’s Advanced Vault service will be charged the greater of (i) the rate corresponding to the number of enrolled payment methods in each month of service as set out in Table 2 below or (ii) the minimum committed fee of $6,000 per month. Costs are exclusive of fees imposed by the card associations and/or third-party service providers (e.g. card updates, tokenization, etc.) which will be passed through to Customer and are subject to change at any time. For the avoidance of doubt, Customer will still be charged the third party fee each time a payment card is updated. Spreedly will make reasonable efforts to notify Customers in advance of changes in third party fees.</w:t>
      </w:r>
    </w:p>
    <w:p w:rsidR="00000000" w:rsidDel="00000000" w:rsidP="00000000" w:rsidRDefault="00000000" w:rsidRPr="00000000" w14:paraId="0000001C">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D">
      <w:pPr>
        <w:rPr>
          <w:rFonts w:ascii="Arial" w:cs="Arial" w:eastAsia="Arial" w:hAnsi="Arial"/>
          <w:b w:val="1"/>
          <w:sz w:val="18"/>
          <w:szCs w:val="18"/>
        </w:rPr>
      </w:pPr>
      <w:r w:rsidDel="00000000" w:rsidR="00000000" w:rsidRPr="00000000">
        <w:rPr>
          <w:rtl w:val="0"/>
        </w:rPr>
      </w:r>
    </w:p>
    <w:tbl>
      <w:tblPr>
        <w:tblStyle w:val="Table2"/>
        <w:tblW w:w="9360.0" w:type="dxa"/>
        <w:jc w:val="left"/>
        <w:tblBorders>
          <w:top w:color="d7d2cd" w:space="0" w:sz="4" w:val="single"/>
          <w:left w:color="d7d2cd" w:space="0" w:sz="4" w:val="single"/>
          <w:bottom w:color="d7d2cd" w:space="0" w:sz="4" w:val="single"/>
          <w:right w:color="d7d2cd" w:space="0" w:sz="4" w:val="single"/>
          <w:insideH w:color="d7d2cd" w:space="0" w:sz="4" w:val="single"/>
          <w:insideV w:color="d7d2cd" w:space="0" w:sz="4" w:val="single"/>
        </w:tblBorders>
        <w:tblLayout w:type="fixed"/>
        <w:tblLook w:val="0400"/>
      </w:tblPr>
      <w:tblGrid>
        <w:gridCol w:w="1905"/>
        <w:gridCol w:w="4845"/>
        <w:gridCol w:w="2610"/>
        <w:tblGridChange w:id="0">
          <w:tblGrid>
            <w:gridCol w:w="1905"/>
            <w:gridCol w:w="4845"/>
            <w:gridCol w:w="2610"/>
          </w:tblGrid>
        </w:tblGridChange>
      </w:tblGrid>
      <w:tr>
        <w:trPr>
          <w:cantSplit w:val="0"/>
          <w:trHeight w:val="356.982421875" w:hRule="atLeast"/>
          <w:tblHeader w:val="0"/>
        </w:trPr>
        <w:tc>
          <w:tcPr>
            <w:gridSpan w:val="3"/>
            <w:shd w:fill="0077c8" w:val="clear"/>
            <w:tcMar>
              <w:top w:w="0.0" w:type="dxa"/>
              <w:left w:w="0.0" w:type="dxa"/>
              <w:bottom w:w="0.0" w:type="dxa"/>
              <w:right w:w="0.0" w:type="dxa"/>
            </w:tcMar>
          </w:tcPr>
          <w:p w:rsidR="00000000" w:rsidDel="00000000" w:rsidP="00000000" w:rsidRDefault="00000000" w:rsidRPr="00000000" w14:paraId="0000001E">
            <w:pPr>
              <w:tabs>
                <w:tab w:val="left" w:leader="none" w:pos="3695"/>
                <w:tab w:val="center" w:leader="none" w:pos="4567"/>
              </w:tabs>
              <w:spacing w:after="60" w:before="60" w:lineRule="auto"/>
              <w:jc w:val="left"/>
              <w:rPr>
                <w:rFonts w:ascii="Arial" w:cs="Arial" w:eastAsia="Arial" w:hAnsi="Arial"/>
                <w:b w:val="1"/>
                <w:sz w:val="18"/>
                <w:szCs w:val="18"/>
              </w:rPr>
            </w:pPr>
            <w:r w:rsidDel="00000000" w:rsidR="00000000" w:rsidRPr="00000000">
              <w:rPr>
                <w:rFonts w:ascii="Arial" w:cs="Arial" w:eastAsia="Arial" w:hAnsi="Arial"/>
                <w:b w:val="1"/>
                <w:color w:val="ffffff"/>
                <w:sz w:val="18"/>
                <w:szCs w:val="18"/>
                <w:rtl w:val="0"/>
              </w:rPr>
              <w:tab/>
              <w:tab/>
              <w:t xml:space="preserve">Table 2</w:t>
            </w:r>
            <w:r w:rsidDel="00000000" w:rsidR="00000000" w:rsidRPr="00000000">
              <w:rPr>
                <w:rtl w:val="0"/>
              </w:rPr>
            </w:r>
          </w:p>
        </w:tc>
      </w:tr>
      <w:tr>
        <w:trPr>
          <w:cantSplit w:val="0"/>
          <w:tblHeader w:val="0"/>
        </w:trPr>
        <w:tc>
          <w:tcPr>
            <w:shd w:fill="a7e9e1" w:val="clear"/>
            <w:tcMar>
              <w:top w:w="0.0" w:type="dxa"/>
              <w:left w:w="0.0" w:type="dxa"/>
              <w:bottom w:w="0.0" w:type="dxa"/>
              <w:right w:w="0.0" w:type="dxa"/>
            </w:tcMar>
          </w:tcPr>
          <w:p w:rsidR="00000000" w:rsidDel="00000000" w:rsidP="00000000" w:rsidRDefault="00000000" w:rsidRPr="00000000" w14:paraId="00000021">
            <w:pPr>
              <w:tabs>
                <w:tab w:val="left" w:leader="none" w:pos="3695"/>
                <w:tab w:val="center" w:leader="none" w:pos="4567"/>
              </w:tabs>
              <w:spacing w:after="60" w:before="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Tier</w:t>
            </w:r>
          </w:p>
        </w:tc>
        <w:tc>
          <w:tcPr>
            <w:shd w:fill="a7e9e1" w:val="clear"/>
            <w:tcMar>
              <w:top w:w="0.0" w:type="dxa"/>
              <w:left w:w="0.0" w:type="dxa"/>
              <w:bottom w:w="0.0" w:type="dxa"/>
              <w:right w:w="0.0" w:type="dxa"/>
            </w:tcMar>
          </w:tcPr>
          <w:p w:rsidR="00000000" w:rsidDel="00000000" w:rsidP="00000000" w:rsidRDefault="00000000" w:rsidRPr="00000000" w14:paraId="00000022">
            <w:pPr>
              <w:tabs>
                <w:tab w:val="left" w:leader="none" w:pos="3695"/>
                <w:tab w:val="center" w:leader="none" w:pos="4567"/>
              </w:tabs>
              <w:spacing w:after="60" w:before="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of Payment Methods</w:t>
            </w:r>
          </w:p>
        </w:tc>
        <w:tc>
          <w:tcPr>
            <w:shd w:fill="a7e9e1" w:val="clear"/>
            <w:tcMar>
              <w:top w:w="0.0" w:type="dxa"/>
              <w:left w:w="0.0" w:type="dxa"/>
              <w:bottom w:w="0.0" w:type="dxa"/>
              <w:right w:w="0.0" w:type="dxa"/>
            </w:tcMar>
          </w:tcPr>
          <w:p w:rsidR="00000000" w:rsidDel="00000000" w:rsidP="00000000" w:rsidRDefault="00000000" w:rsidRPr="00000000" w14:paraId="00000023">
            <w:pPr>
              <w:tabs>
                <w:tab w:val="left" w:leader="none" w:pos="3695"/>
                <w:tab w:val="center" w:leader="none" w:pos="4567"/>
              </w:tabs>
              <w:spacing w:after="60" w:before="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Monthly Fee Per Method</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24">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Mar>
              <w:top w:w="0.0" w:type="dxa"/>
              <w:left w:w="0.0" w:type="dxa"/>
              <w:bottom w:w="0.0" w:type="dxa"/>
              <w:right w:w="0.0" w:type="dxa"/>
            </w:tcMar>
          </w:tcPr>
          <w:p w:rsidR="00000000" w:rsidDel="00000000" w:rsidP="00000000" w:rsidRDefault="00000000" w:rsidRPr="00000000" w14:paraId="00000025">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 – 149,999</w:t>
            </w:r>
          </w:p>
        </w:tc>
        <w:tc>
          <w:tcPr>
            <w:tcMar>
              <w:top w:w="0.0" w:type="dxa"/>
              <w:left w:w="0.0" w:type="dxa"/>
              <w:bottom w:w="0.0" w:type="dxa"/>
              <w:right w:w="0.0" w:type="dxa"/>
            </w:tcMar>
          </w:tcPr>
          <w:p w:rsidR="00000000" w:rsidDel="00000000" w:rsidP="00000000" w:rsidRDefault="00000000" w:rsidRPr="00000000" w14:paraId="00000026">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$0.025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27">
            <w:pPr>
              <w:spacing w:after="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Mar>
              <w:top w:w="0.0" w:type="dxa"/>
              <w:left w:w="0.0" w:type="dxa"/>
              <w:bottom w:w="0.0" w:type="dxa"/>
              <w:right w:w="0.0" w:type="dxa"/>
            </w:tcMar>
          </w:tcPr>
          <w:p w:rsidR="00000000" w:rsidDel="00000000" w:rsidP="00000000" w:rsidRDefault="00000000" w:rsidRPr="00000000" w14:paraId="00000028">
            <w:pPr>
              <w:spacing w:after="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150,000 – 1,499,99</w:t>
            </w:r>
          </w:p>
        </w:tc>
        <w:tc>
          <w:tcPr>
            <w:tcMar>
              <w:top w:w="0.0" w:type="dxa"/>
              <w:left w:w="0.0" w:type="dxa"/>
              <w:bottom w:w="0.0" w:type="dxa"/>
              <w:right w:w="0.0" w:type="dxa"/>
            </w:tcMar>
          </w:tcPr>
          <w:p w:rsidR="00000000" w:rsidDel="00000000" w:rsidP="00000000" w:rsidRDefault="00000000" w:rsidRPr="00000000" w14:paraId="00000029">
            <w:pPr>
              <w:spacing w:after="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$0.020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2A">
            <w:pPr>
              <w:spacing w:after="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Mar>
              <w:top w:w="0.0" w:type="dxa"/>
              <w:left w:w="0.0" w:type="dxa"/>
              <w:bottom w:w="0.0" w:type="dxa"/>
              <w:right w:w="0.0" w:type="dxa"/>
            </w:tcMar>
          </w:tcPr>
          <w:p w:rsidR="00000000" w:rsidDel="00000000" w:rsidP="00000000" w:rsidRDefault="00000000" w:rsidRPr="00000000" w14:paraId="0000002B">
            <w:pPr>
              <w:spacing w:after="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1,500,000 +</w:t>
            </w:r>
          </w:p>
        </w:tc>
        <w:tc>
          <w:tcPr>
            <w:tcMar>
              <w:top w:w="0.0" w:type="dxa"/>
              <w:left w:w="0.0" w:type="dxa"/>
              <w:bottom w:w="0.0" w:type="dxa"/>
              <w:right w:w="0.0" w:type="dxa"/>
            </w:tcMar>
          </w:tcPr>
          <w:p w:rsidR="00000000" w:rsidDel="00000000" w:rsidP="00000000" w:rsidRDefault="00000000" w:rsidRPr="00000000" w14:paraId="0000002C">
            <w:pPr>
              <w:spacing w:after="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$0.015</w:t>
            </w:r>
          </w:p>
        </w:tc>
      </w:tr>
    </w:tbl>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Arial" w:cs="Arial" w:eastAsia="Arial" w:hAnsi="Arial"/>
          <w:sz w:val="18"/>
          <w:szCs w:val="18"/>
        </w:rPr>
      </w:pPr>
      <w:r w:rsidDel="00000000" w:rsidR="00000000" w:rsidRPr="00000000">
        <w:rPr>
          <w:rFonts w:ascii="Arial" w:cs="Arial" w:eastAsia="Arial" w:hAnsi="Arial"/>
          <w:sz w:val="18"/>
          <w:szCs w:val="18"/>
          <w:rtl w:val="0"/>
        </w:rPr>
        <w:t xml:space="preserve">By using Advanced Vault, Customer agrees that any updates to payment card information may be used by Spreedly to improve or provide payment services on its Platform. Customer authorizes Spreedly to act on Customer’s behalf to (i) request and retain a Token Requestor ID from applicable card issuers, and (ii) use the Token Requestor ID to provision network tokens where available.</w:t>
      </w:r>
    </w:p>
    <w:p w:rsidR="00000000" w:rsidDel="00000000" w:rsidP="00000000" w:rsidRDefault="00000000" w:rsidRPr="00000000" w14:paraId="0000002F">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0">
      <w:pPr>
        <w:tabs>
          <w:tab w:val="left" w:leader="none" w:pos="1080"/>
        </w:tabs>
        <w:spacing w:after="240" w:lineRule="auto"/>
        <w:rPr>
          <w:rFonts w:ascii="Arial" w:cs="Arial" w:eastAsia="Arial" w:hAnsi="Arial"/>
          <w:sz w:val="22"/>
          <w:szCs w:val="22"/>
        </w:rPr>
      </w:pPr>
      <w:r w:rsidDel="00000000" w:rsidR="00000000" w:rsidRPr="00000000">
        <w:rPr>
          <w:rFonts w:ascii="Arial" w:cs="Arial" w:eastAsia="Arial" w:hAnsi="Arial"/>
          <w:sz w:val="18"/>
          <w:szCs w:val="18"/>
          <w:rtl w:val="0"/>
        </w:rPr>
        <w:t xml:space="preserve">Customer will be invoiced monthly at the rate for the number of payment methods enrolled in the prior month as described in Section 2 or the minimum committed fee of $6,000.</w:t>
      </w:r>
      <w:r w:rsidDel="00000000" w:rsidR="00000000" w:rsidRPr="00000000">
        <w:rPr>
          <w:rtl w:val="0"/>
        </w:rPr>
      </w:r>
    </w:p>
    <w:p w:rsidR="00000000" w:rsidDel="00000000" w:rsidP="00000000" w:rsidRDefault="00000000" w:rsidRPr="00000000" w14:paraId="0000003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3">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4">
      <w:pPr>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5">
      <w:pPr>
        <w:jc w:val="left"/>
        <w:rPr>
          <w:rFonts w:ascii="Arial" w:cs="Arial" w:eastAsia="Arial" w:hAnsi="Arial"/>
          <w:b w:val="1"/>
          <w:sz w:val="18"/>
          <w:szCs w:val="18"/>
        </w:rPr>
      </w:pPr>
      <w:r w:rsidDel="00000000" w:rsidR="00000000" w:rsidRPr="00000000">
        <w:rPr>
          <w:rFonts w:ascii="Arial" w:cs="Arial" w:eastAsia="Arial" w:hAnsi="Arial"/>
          <w:sz w:val="18"/>
          <w:szCs w:val="18"/>
          <w:rtl w:val="0"/>
        </w:rPr>
        <w:t xml:space="preserve">Customer will pay the </w:t>
      </w:r>
      <w:r w:rsidDel="00000000" w:rsidR="00000000" w:rsidRPr="00000000">
        <w:rPr>
          <w:rFonts w:ascii="Arial" w:cs="Arial" w:eastAsia="Arial" w:hAnsi="Arial"/>
          <w:sz w:val="18"/>
          <w:szCs w:val="18"/>
          <w:rtl w:val="0"/>
        </w:rPr>
        <w:t xml:space="preserve">Advanced Vault</w:t>
      </w:r>
      <w:r w:rsidDel="00000000" w:rsidR="00000000" w:rsidRPr="00000000">
        <w:rPr>
          <w:rFonts w:ascii="Arial" w:cs="Arial" w:eastAsia="Arial" w:hAnsi="Arial"/>
          <w:sz w:val="18"/>
          <w:szCs w:val="18"/>
          <w:rtl w:val="0"/>
        </w:rPr>
        <w:t xml:space="preserve"> fees for the first month in full within fifteen (15) days of the Order Form Effective Date. Each subsequent monthly payment will be due and payable within thirty (30) days of the invoice date. All payments are subject to the terms prescribed in the Agreement.</w:t>
      </w:r>
      <w:r w:rsidDel="00000000" w:rsidR="00000000" w:rsidRPr="00000000">
        <w:rPr>
          <w:rtl w:val="0"/>
        </w:rPr>
      </w:r>
    </w:p>
    <w:p w:rsidR="00000000" w:rsidDel="00000000" w:rsidP="00000000" w:rsidRDefault="00000000" w:rsidRPr="00000000" w14:paraId="00000036">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7">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Customer may elect to pay all amounts due under this Agreement either by:</w:t>
      </w:r>
    </w:p>
    <w:p w:rsidR="00000000" w:rsidDel="00000000" w:rsidP="00000000" w:rsidRDefault="00000000" w:rsidRPr="00000000" w14:paraId="00000038">
      <w:pPr>
        <w:ind w:left="144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9">
      <w:pPr>
        <w:numPr>
          <w:ilvl w:val="0"/>
          <w:numId w:val="1"/>
        </w:numPr>
        <w:ind w:left="810" w:hanging="45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ACH payment or wire transfer to the following account:</w:t>
      </w:r>
    </w:p>
    <w:p w:rsidR="00000000" w:rsidDel="00000000" w:rsidP="00000000" w:rsidRDefault="00000000" w:rsidRPr="00000000" w14:paraId="0000003A">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B">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Receiver:</w:t>
        <w:tab/>
        <w:t xml:space="preserve">Webster Bank</w:t>
      </w:r>
    </w:p>
    <w:p w:rsidR="00000000" w:rsidDel="00000000" w:rsidP="00000000" w:rsidRDefault="00000000" w:rsidRPr="00000000" w14:paraId="0000003C">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ABA/Routing #: </w:t>
        <w:tab/>
      </w:r>
      <w:r w:rsidDel="00000000" w:rsidR="00000000" w:rsidRPr="00000000">
        <w:rPr>
          <w:rFonts w:ascii="Arial" w:cs="Arial" w:eastAsia="Arial" w:hAnsi="Arial"/>
          <w:sz w:val="18"/>
          <w:szCs w:val="18"/>
          <w:highlight w:val="white"/>
          <w:rtl w:val="0"/>
        </w:rPr>
        <w:t xml:space="preserve">211170101</w:t>
      </w:r>
      <w:r w:rsidDel="00000000" w:rsidR="00000000" w:rsidRPr="00000000">
        <w:rPr>
          <w:rtl w:val="0"/>
        </w:rPr>
      </w:r>
    </w:p>
    <w:p w:rsidR="00000000" w:rsidDel="00000000" w:rsidP="00000000" w:rsidRDefault="00000000" w:rsidRPr="00000000" w14:paraId="0000003D">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SWIFT Code:</w:t>
        <w:tab/>
      </w:r>
      <w:r w:rsidDel="00000000" w:rsidR="00000000" w:rsidRPr="00000000">
        <w:rPr>
          <w:rFonts w:ascii="Arial" w:cs="Arial" w:eastAsia="Arial" w:hAnsi="Arial"/>
          <w:sz w:val="18"/>
          <w:szCs w:val="18"/>
          <w:highlight w:val="white"/>
          <w:rtl w:val="0"/>
        </w:rPr>
        <w:t xml:space="preserve">WENAUS31</w:t>
      </w:r>
      <w:r w:rsidDel="00000000" w:rsidR="00000000" w:rsidRPr="00000000">
        <w:rPr>
          <w:rtl w:val="0"/>
        </w:rPr>
      </w:r>
    </w:p>
    <w:p w:rsidR="00000000" w:rsidDel="00000000" w:rsidP="00000000" w:rsidRDefault="00000000" w:rsidRPr="00000000" w14:paraId="0000003E">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Beneficiary:</w:t>
        <w:tab/>
      </w:r>
      <w:r w:rsidDel="00000000" w:rsidR="00000000" w:rsidRPr="00000000">
        <w:rPr>
          <w:rFonts w:ascii="Arial" w:cs="Arial" w:eastAsia="Arial" w:hAnsi="Arial"/>
          <w:sz w:val="18"/>
          <w:szCs w:val="18"/>
          <w:highlight w:val="white"/>
          <w:rtl w:val="0"/>
        </w:rPr>
        <w:t xml:space="preserve">0024760830</w:t>
      </w:r>
      <w:r w:rsidDel="00000000" w:rsidR="00000000" w:rsidRPr="00000000">
        <w:rPr>
          <w:rtl w:val="0"/>
        </w:rPr>
      </w:r>
    </w:p>
    <w:p w:rsidR="00000000" w:rsidDel="00000000" w:rsidP="00000000" w:rsidRDefault="00000000" w:rsidRPr="00000000" w14:paraId="0000003F">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Spreedly, Inc.</w:t>
      </w:r>
    </w:p>
    <w:p w:rsidR="00000000" w:rsidDel="00000000" w:rsidP="00000000" w:rsidRDefault="00000000" w:rsidRPr="00000000" w14:paraId="00000040">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300 Morris Street, Suite 400</w:t>
      </w:r>
    </w:p>
    <w:p w:rsidR="00000000" w:rsidDel="00000000" w:rsidP="00000000" w:rsidRDefault="00000000" w:rsidRPr="00000000" w14:paraId="00000041">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Durham, NC 27701</w:t>
      </w:r>
    </w:p>
    <w:p w:rsidR="00000000" w:rsidDel="00000000" w:rsidP="00000000" w:rsidRDefault="00000000" w:rsidRPr="00000000" w14:paraId="00000042">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USA</w:t>
      </w:r>
    </w:p>
    <w:p w:rsidR="00000000" w:rsidDel="00000000" w:rsidP="00000000" w:rsidRDefault="00000000" w:rsidRPr="00000000" w14:paraId="00000043">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4">
      <w:pPr>
        <w:numPr>
          <w:ilvl w:val="0"/>
          <w:numId w:val="1"/>
        </w:numPr>
        <w:ind w:left="810" w:hanging="45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check delivered to the address specified in the relevant invoice;</w:t>
      </w:r>
    </w:p>
    <w:p w:rsidR="00000000" w:rsidDel="00000000" w:rsidP="00000000" w:rsidRDefault="00000000" w:rsidRPr="00000000" w14:paraId="00000045">
      <w:pPr>
        <w:ind w:left="144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6">
      <w:pPr>
        <w:jc w:val="left"/>
        <w:rPr>
          <w:rFonts w:ascii="Arial" w:cs="Arial" w:eastAsia="Arial" w:hAnsi="Arial"/>
          <w:sz w:val="18"/>
          <w:szCs w:val="1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7">
      <w:pPr>
        <w:tabs>
          <w:tab w:val="left" w:leader="none" w:pos="1080"/>
        </w:tabs>
        <w:spacing w:after="240" w:lineRule="auto"/>
        <w:rPr>
          <w:rFonts w:ascii="Arial" w:cs="Arial" w:eastAsia="Arial" w:hAnsi="Arial"/>
          <w:sz w:val="18"/>
          <w:szCs w:val="18"/>
        </w:rPr>
      </w:pPr>
      <w:bookmarkStart w:colFirst="0" w:colLast="0" w:name="_heading=h.1ksv4uv" w:id="0"/>
      <w:bookmarkEnd w:id="0"/>
      <w:r w:rsidDel="00000000" w:rsidR="00000000" w:rsidRPr="00000000">
        <w:rPr>
          <w:rFonts w:ascii="Arial" w:cs="Arial" w:eastAsia="Arial" w:hAnsi="Arial"/>
          <w:sz w:val="18"/>
          <w:szCs w:val="18"/>
          <w:rtl w:val="0"/>
        </w:rPr>
        <w:t xml:space="preserve">If Customer fails to make any payment when due then, in addition to all other remedies that may be available to Spreedly in the Agreement, Spreedly may charge interest on the past due amount at the rate of 1.5% per month calculated daily and compounded monthly or, if lower, the highest rate permitted under applicable law.</w:t>
      </w:r>
    </w:p>
    <w:p w:rsidR="00000000" w:rsidDel="00000000" w:rsidP="00000000" w:rsidRDefault="00000000" w:rsidRPr="00000000" w14:paraId="00000048">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9">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A">
      <w:pPr>
        <w:spacing w:after="180" w:line="201" w:lineRule="auto"/>
        <w:ind w:right="72"/>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B">
      <w:pPr>
        <w:spacing w:after="180" w:line="206" w:lineRule="auto"/>
        <w:ind w:left="0" w:firstLine="0"/>
        <w:rPr>
          <w:rFonts w:ascii="Arial" w:cs="Arial" w:eastAsia="Arial" w:hAnsi="Arial"/>
          <w:b w:val="1"/>
          <w:sz w:val="18"/>
          <w:szCs w:val="18"/>
        </w:rPr>
      </w:pPr>
      <w:r w:rsidDel="00000000" w:rsidR="00000000" w:rsidRPr="00000000">
        <w:rPr>
          <w:rFonts w:ascii="Arial" w:cs="Arial" w:eastAsia="Arial" w:hAnsi="Arial"/>
          <w:sz w:val="18"/>
          <w:szCs w:val="18"/>
          <w:rtl w:val="0"/>
        </w:rPr>
        <w:t xml:space="preserve">The Parties have executed this Order Form by their duly authorized representatives in one or more counterparts, each of which will be deemed an original.</w:t>
      </w:r>
      <w:r w:rsidDel="00000000" w:rsidR="00000000" w:rsidRPr="00000000">
        <w:rPr>
          <w:rtl w:val="0"/>
        </w:rPr>
      </w:r>
    </w:p>
    <w:tbl>
      <w:tblPr>
        <w:tblStyle w:val="Table3"/>
        <w:tblW w:w="9378.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18"/>
        <w:gridCol w:w="360"/>
        <w:gridCol w:w="4500"/>
        <w:tblGridChange w:id="0">
          <w:tblGrid>
            <w:gridCol w:w="4518"/>
            <w:gridCol w:w="360"/>
            <w:gridCol w:w="4500"/>
          </w:tblGrid>
        </w:tblGridChange>
      </w:tblGrid>
      <w:tr>
        <w:trPr>
          <w:cantSplit w:val="0"/>
          <w:tblHeader w:val="0"/>
        </w:trPr>
        <w:tc>
          <w:tcPr/>
          <w:p w:rsidR="00000000" w:rsidDel="00000000" w:rsidP="00000000" w:rsidRDefault="00000000" w:rsidRPr="00000000" w14:paraId="0000004C">
            <w:pPr>
              <w:spacing w:after="60" w:before="60" w:line="180" w:lineRule="auto"/>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D">
            <w:pPr>
              <w:spacing w:after="60" w:before="60" w:line="18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4E">
            <w:pPr>
              <w:spacing w:after="60" w:before="60" w:line="180" w:lineRule="auto"/>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4F">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0">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1">
            <w:pPr>
              <w:tabs>
                <w:tab w:val="left" w:leader="none" w:pos="547"/>
                <w:tab w:val="left" w:leader="none" w:pos="1620"/>
              </w:tabs>
              <w:spacing w:line="264"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Hagerty Management, LLC</w:t>
            </w:r>
            <w:r w:rsidDel="00000000" w:rsidR="00000000" w:rsidRPr="00000000">
              <w:rPr>
                <w:rtl w:val="0"/>
              </w:rPr>
            </w:r>
          </w:p>
          <w:p w:rsidR="00000000" w:rsidDel="00000000" w:rsidP="00000000" w:rsidRDefault="00000000" w:rsidRPr="00000000" w14:paraId="00000052">
            <w:pPr>
              <w:spacing w:after="60" w:before="60" w:line="180" w:lineRule="auto"/>
              <w:jc w:val="left"/>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53">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4">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5">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w:t>
            </w:r>
          </w:p>
        </w:tc>
        <w:tc>
          <w:tcPr/>
          <w:p w:rsidR="00000000" w:rsidDel="00000000" w:rsidP="00000000" w:rsidRDefault="00000000" w:rsidRPr="00000000" w14:paraId="00000056">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7">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8">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9">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w:t>
            </w:r>
          </w:p>
        </w:tc>
      </w:tr>
      <w:tr>
        <w:trPr>
          <w:cantSplit w:val="0"/>
          <w:tblHeader w:val="0"/>
        </w:trPr>
        <w:tc>
          <w:tcPr/>
          <w:p w:rsidR="00000000" w:rsidDel="00000000" w:rsidP="00000000" w:rsidRDefault="00000000" w:rsidRPr="00000000" w14:paraId="0000005A">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B">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Name: </w:t>
              <w:tab/>
              <w:t xml:space="preserve">___________________________________</w:t>
            </w:r>
          </w:p>
        </w:tc>
        <w:tc>
          <w:tcPr/>
          <w:p w:rsidR="00000000" w:rsidDel="00000000" w:rsidP="00000000" w:rsidRDefault="00000000" w:rsidRPr="00000000" w14:paraId="0000005C">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D">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E">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Name: </w:t>
              <w:tab/>
              <w:t xml:space="preserve">___________________________________</w:t>
            </w:r>
          </w:p>
        </w:tc>
      </w:tr>
      <w:tr>
        <w:trPr>
          <w:cantSplit w:val="0"/>
          <w:tblHeader w:val="0"/>
        </w:trPr>
        <w:tc>
          <w:tcPr/>
          <w:p w:rsidR="00000000" w:rsidDel="00000000" w:rsidP="00000000" w:rsidRDefault="00000000" w:rsidRPr="00000000" w14:paraId="0000005F">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0">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w:t>
            </w:r>
          </w:p>
        </w:tc>
        <w:tc>
          <w:tcPr/>
          <w:p w:rsidR="00000000" w:rsidDel="00000000" w:rsidP="00000000" w:rsidRDefault="00000000" w:rsidRPr="00000000" w14:paraId="00000061">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62">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3">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w:t>
            </w:r>
          </w:p>
        </w:tc>
      </w:tr>
      <w:tr>
        <w:trPr>
          <w:cantSplit w:val="0"/>
          <w:tblHeader w:val="0"/>
        </w:trPr>
        <w:tc>
          <w:tcPr/>
          <w:p w:rsidR="00000000" w:rsidDel="00000000" w:rsidP="00000000" w:rsidRDefault="00000000" w:rsidRPr="00000000" w14:paraId="00000064">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5">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Date:</w:t>
              <w:tab/>
              <w:t xml:space="preserve">___________________________________</w:t>
            </w:r>
          </w:p>
        </w:tc>
        <w:tc>
          <w:tcPr/>
          <w:p w:rsidR="00000000" w:rsidDel="00000000" w:rsidP="00000000" w:rsidRDefault="00000000" w:rsidRPr="00000000" w14:paraId="00000066">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67">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8">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Date:</w:t>
              <w:tab/>
              <w:t xml:space="preserve">___________________________________</w:t>
            </w:r>
          </w:p>
        </w:tc>
      </w:tr>
    </w:tbl>
    <w:p w:rsidR="00000000" w:rsidDel="00000000" w:rsidP="00000000" w:rsidRDefault="00000000" w:rsidRPr="00000000" w14:paraId="00000069">
      <w:pPr>
        <w:spacing w:after="180" w:line="201" w:lineRule="auto"/>
        <w:ind w:right="72"/>
        <w:rPr>
          <w:rFonts w:ascii="Arial" w:cs="Arial" w:eastAsia="Arial" w:hAnsi="Arial"/>
          <w:sz w:val="18"/>
          <w:szCs w:val="18"/>
        </w:rPr>
      </w:pPr>
      <w:r w:rsidDel="00000000" w:rsidR="00000000" w:rsidRPr="00000000">
        <w:rPr>
          <w:rtl w:val="0"/>
        </w:rPr>
      </w:r>
    </w:p>
    <w:sectPr>
      <w:headerReference r:id="rId9" w:type="default"/>
      <w:footerReference r:id="rId10" w:type="default"/>
      <w:footerReference r:id="rId11" w:type="first"/>
      <w:pgSz w:h="15840" w:w="12240" w:orient="portrait"/>
      <w:pgMar w:bottom="1440" w:top="1440" w:left="1080" w:right="108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le Jackson" w:id="0" w:date="2023-12-08T18:58:47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@jcreed@spreedly.com Please confirm initial term</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John Reed_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5112"/>
        <w:tab w:val="right" w:leader="none" w:pos="10224"/>
      </w:tabs>
      <w:rPr>
        <w:color w:val="000000"/>
      </w:rPr>
    </w:pPr>
    <w:r w:rsidDel="00000000" w:rsidR="00000000" w:rsidRPr="00000000">
      <w:rPr>
        <w:color w:val="000000"/>
        <w:rtl w:val="0"/>
      </w:rPr>
      <w:tab/>
    </w: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color w:val="000000"/>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leader="none" w:pos="5112"/>
        <w:tab w:val="right" w:leader="none" w:pos="10224"/>
      </w:tabs>
      <w:rP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078865" cy="615950"/>
              <wp:effectExtent b="0" l="0" r="0" t="0"/>
              <wp:wrapNone/>
              <wp:docPr id="1" name=""/>
              <a:graphic>
                <a:graphicData uri="http://schemas.microsoft.com/office/word/2010/wordprocessingShape">
                  <wps:wsp>
                    <wps:cNvSpPr/>
                    <wps:cNvPr id="2" name="Shape 2"/>
                    <wps:spPr>
                      <a:xfrm>
                        <a:off x="4835143" y="3500600"/>
                        <a:ext cx="1021715" cy="558800"/>
                      </a:xfrm>
                      <a:prstGeom prst="rect">
                        <a:avLst/>
                      </a:prstGeom>
                      <a:noFill/>
                      <a:ln>
                        <a:noFill/>
                      </a:ln>
                    </wps:spPr>
                    <wps:txbx>
                      <w:txbxContent>
                        <w:p w:rsidR="00000000" w:rsidDel="00000000" w:rsidP="00000000" w:rsidRDefault="00000000" w:rsidRPr="00000000">
                          <w:pPr>
                            <w:spacing w:after="480" w:before="0" w:line="200.00000953674316"/>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t xml:space="preserve">8458532v1 22946.00010</w:t>
                          </w:r>
                        </w:p>
                        <w:p w:rsidR="00000000" w:rsidDel="00000000" w:rsidP="00000000" w:rsidRDefault="00000000" w:rsidRPr="00000000">
                          <w:pPr>
                            <w:spacing w:after="0" w:before="0" w:line="200.00000953674316"/>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078865" cy="61595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078865" cy="6159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tabs>
        <w:tab w:val="center" w:leader="none" w:pos="4680"/>
        <w:tab w:val="right" w:leader="none" w:pos="10800"/>
      </w:tabs>
      <w:ind w:left="3240" w:firstLine="5580"/>
      <w:rPr>
        <w:rFonts w:ascii="Arial" w:cs="Arial" w:eastAsia="Arial" w:hAnsi="Arial"/>
        <w:sz w:val="16"/>
        <w:szCs w:val="16"/>
      </w:rPr>
    </w:pPr>
    <w:r w:rsidDel="00000000" w:rsidR="00000000" w:rsidRPr="00000000">
      <w:rPr>
        <w:rFonts w:ascii="Arial" w:cs="Arial" w:eastAsia="Arial" w:hAnsi="Arial"/>
        <w:sz w:val="16"/>
        <w:szCs w:val="16"/>
        <w:rtl w:val="0"/>
      </w:rPr>
      <w:t xml:space="preserve">CONFIDENTIAL</w:t>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-28570</wp:posOffset>
          </wp:positionV>
          <wp:extent cx="1405956" cy="322799"/>
          <wp:effectExtent b="0" l="0" r="0" t="0"/>
          <wp:wrapNone/>
          <wp:docPr id="2" name="image1.jpg"/>
          <a:graphic>
            <a:graphicData uri="http://schemas.openxmlformats.org/drawingml/2006/picture">
              <pic:pic>
                <pic:nvPicPr>
                  <pic:cNvPr id="0" name="image1.jpg"/>
                  <pic:cNvPicPr preferRelativeResize="0"/>
                </pic:nvPicPr>
                <pic:blipFill>
                  <a:blip r:embed="rId1"/>
                  <a:srcRect b="0" l="20" r="21" t="0"/>
                  <a:stretch>
                    <a:fillRect/>
                  </a:stretch>
                </pic:blipFill>
                <pic:spPr>
                  <a:xfrm>
                    <a:off x="0" y="0"/>
                    <a:ext cx="1405956" cy="322799"/>
                  </a:xfrm>
                  <a:prstGeom prst="rect"/>
                  <a:ln/>
                </pic:spPr>
              </pic:pic>
            </a:graphicData>
          </a:graphic>
        </wp:anchor>
      </w:drawing>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2">
    <w:basedOn w:val="TableNormal"/>
    <w:rPr>
      <w:rFonts w:ascii="Times New Roman" w:cs="Times New Roman" w:eastAsia="Times New Roman" w:hAnsi="Times New Roman"/>
    </w:rPr>
    <w:tblPr>
      <w:tblStyleRowBandSize w:val="1"/>
      <w:tblStyleColBandSize w:val="1"/>
      <w:tblCellMar>
        <w:top w:w="15.0" w:type="dxa"/>
        <w:left w:w="15.0" w:type="dxa"/>
        <w:bottom w:w="15.0" w:type="dxa"/>
        <w:right w:w="15.0" w:type="dxa"/>
      </w:tblCellMar>
    </w:tblPr>
  </w:style>
  <w:style w:type="table" w:styleId="Table3">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POWdHc2XBDCgQH8/qT08STckqg==">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