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65"/>
        <w:gridCol w:w="255"/>
        <w:gridCol w:w="3360"/>
        <w:tblGridChange w:id="0">
          <w:tblGrid>
            <w:gridCol w:w="6465"/>
            <w:gridCol w:w="255"/>
            <w:gridCol w:w="3360"/>
          </w:tblGrid>
        </w:tblGridChange>
      </w:tblGrid>
      <w:tr>
        <w:trPr>
          <w:cantSplit w:val="0"/>
          <w:tblHeader w:val="0"/>
        </w:trPr>
        <w:tc>
          <w:tcPr/>
          <w:p w:rsidR="00000000" w:rsidDel="00000000" w:rsidP="00000000" w:rsidRDefault="00000000" w:rsidRPr="00000000" w14:paraId="00000004">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5">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8">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9">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B">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C">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Loyal Zoo Ltd</w:t>
            </w:r>
          </w:p>
          <w:p w:rsidR="00000000" w:rsidDel="00000000" w:rsidP="00000000" w:rsidRDefault="00000000" w:rsidRPr="00000000" w14:paraId="0000000D">
            <w:pPr>
              <w:ind w:right="-14"/>
              <w:jc w:val="left"/>
              <w:rPr>
                <w:rFonts w:ascii="Arial" w:cs="Arial" w:eastAsia="Arial" w:hAnsi="Arial"/>
                <w:sz w:val="18"/>
                <w:szCs w:val="18"/>
                <w:highlight w:val="yellow"/>
              </w:rPr>
            </w:pPr>
            <w:r w:rsidDel="00000000" w:rsidR="00000000" w:rsidRPr="00000000">
              <w:rPr>
                <w:rFonts w:ascii="Arial" w:cs="Arial" w:eastAsia="Arial" w:hAnsi="Arial"/>
                <w:b w:val="1"/>
                <w:sz w:val="18"/>
                <w:szCs w:val="18"/>
                <w:rtl w:val="0"/>
              </w:rPr>
              <w:t xml:space="preserve">Tax ID: </w:t>
            </w:r>
            <w:r w:rsidDel="00000000" w:rsidR="00000000" w:rsidRPr="00000000">
              <w:rPr>
                <w:rtl w:val="0"/>
              </w:rPr>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1 Lyric Square, London, W6 0NB, Company No. 08398662</w:t>
            </w:r>
          </w:p>
          <w:p w:rsidR="00000000" w:rsidDel="00000000" w:rsidP="00000000" w:rsidRDefault="00000000" w:rsidRPr="00000000" w14:paraId="0000000F">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George Waugh</w:t>
            </w:r>
          </w:p>
        </w:tc>
        <w:tc>
          <w:tcPr/>
          <w:p w:rsidR="00000000" w:rsidDel="00000000" w:rsidP="00000000" w:rsidRDefault="00000000" w:rsidRPr="00000000" w14:paraId="00000010">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1">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30 Nov 2023</w:t>
            </w:r>
            <w:r w:rsidDel="00000000" w:rsidR="00000000" w:rsidRPr="00000000">
              <w:rPr>
                <w:rtl w:val="0"/>
              </w:rPr>
            </w:r>
          </w:p>
          <w:p w:rsidR="00000000" w:rsidDel="00000000" w:rsidP="00000000" w:rsidRDefault="00000000" w:rsidRPr="00000000" w14:paraId="00000012">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Service Start Date: 31 Dec 2023</w:t>
            </w:r>
            <w:r w:rsidDel="00000000" w:rsidR="00000000" w:rsidRPr="00000000">
              <w:rPr>
                <w:rtl w:val="0"/>
              </w:rPr>
            </w:r>
          </w:p>
        </w:tc>
      </w:tr>
    </w:tbl>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w:t>
      </w:r>
      <w:r w:rsidDel="00000000" w:rsidR="00000000" w:rsidRPr="00000000">
        <w:rPr>
          <w:rFonts w:ascii="Arial" w:cs="Arial" w:eastAsia="Arial" w:hAnsi="Arial"/>
          <w:sz w:val="18"/>
          <w:szCs w:val="18"/>
          <w:rtl w:val="0"/>
        </w:rPr>
        <w:t xml:space="preserve">(the “Order Form Effective Date”</w:t>
      </w:r>
      <w:r w:rsidDel="00000000" w:rsidR="00000000" w:rsidRPr="00000000">
        <w:rPr>
          <w:rFonts w:ascii="Arial" w:cs="Arial" w:eastAsia="Arial" w:hAnsi="Arial"/>
          <w:sz w:val="18"/>
          <w:szCs w:val="18"/>
          <w:rtl w:val="0"/>
        </w:rPr>
        <w:t xml:space="preserv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12 months, after which this Order Form will automatically renew for successive 12-month periods (each, a “Renewal Term” and, together with the Initial Term, the “Term”) unless either party has provided written notice of its intent to not renew not less than sixty (60) days prior to the expiration of the then-current Initial or Renewal Term. Each 12 months of service is a “Contract Year”.</w:t>
      </w:r>
      <w:r w:rsidDel="00000000" w:rsidR="00000000" w:rsidRPr="00000000">
        <w:rPr>
          <w:rtl w:val="0"/>
        </w:rPr>
      </w:r>
    </w:p>
    <w:p w:rsidR="00000000" w:rsidDel="00000000" w:rsidP="00000000" w:rsidRDefault="00000000" w:rsidRPr="00000000" w14:paraId="0000001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spacing w:after="120" w:lineRule="auto"/>
        <w:rPr>
          <w:rFonts w:ascii="Arial" w:cs="Arial" w:eastAsia="Arial" w:hAnsi="Arial"/>
          <w:color w:val="1c212b"/>
          <w:sz w:val="18"/>
          <w:szCs w:val="18"/>
          <w:highlight w:val="white"/>
        </w:rPr>
      </w:pPr>
      <w:r w:rsidDel="00000000" w:rsidR="00000000" w:rsidRPr="00000000">
        <w:rPr>
          <w:rFonts w:ascii="Arial" w:cs="Arial" w:eastAsia="Arial" w:hAnsi="Arial"/>
          <w:b w:val="1"/>
          <w:sz w:val="18"/>
          <w:szCs w:val="18"/>
          <w:rtl w:val="0"/>
        </w:rPr>
        <w:t xml:space="preserve">2) Platform Fees. </w:t>
      </w:r>
      <w:r w:rsidDel="00000000" w:rsidR="00000000" w:rsidRPr="00000000">
        <w:rPr>
          <w:rFonts w:ascii="Arial" w:cs="Arial" w:eastAsia="Arial" w:hAnsi="Arial"/>
          <w:sz w:val="18"/>
          <w:szCs w:val="18"/>
          <w:rtl w:val="0"/>
        </w:rPr>
        <w:t xml:space="preserve">For each Contract Year, Customer will pay Spreedly the “Annual Platform Fee” in Table 1 which entitles  Customer </w:t>
      </w:r>
      <w:r w:rsidDel="00000000" w:rsidR="00000000" w:rsidRPr="00000000">
        <w:rPr>
          <w:rFonts w:ascii="Arial" w:cs="Arial" w:eastAsia="Arial" w:hAnsi="Arial"/>
          <w:color w:val="1c212b"/>
          <w:sz w:val="18"/>
          <w:szCs w:val="18"/>
          <w:highlight w:val="white"/>
          <w:rtl w:val="0"/>
        </w:rPr>
        <w:t xml:space="preserve">to access and use the services of the Spreedly Platform as set out in the applicable Documentation, including:</w:t>
      </w:r>
    </w:p>
    <w:p w:rsidR="00000000" w:rsidDel="00000000" w:rsidP="00000000" w:rsidRDefault="00000000" w:rsidRPr="00000000" w14:paraId="0000001B">
      <w:pPr>
        <w:numPr>
          <w:ilvl w:val="0"/>
          <w:numId w:val="1"/>
        </w:numPr>
        <w:spacing w:line="276" w:lineRule="auto"/>
        <w:ind w:left="720" w:hanging="360"/>
        <w:jc w:val="left"/>
        <w:rPr>
          <w:rFonts w:ascii="Arial" w:cs="Arial" w:eastAsia="Arial" w:hAnsi="Arial"/>
          <w:color w:val="1c212b"/>
          <w:sz w:val="18"/>
          <w:szCs w:val="18"/>
          <w:highlight w:val="white"/>
        </w:rPr>
      </w:pPr>
      <w:r w:rsidDel="00000000" w:rsidR="00000000" w:rsidRPr="00000000">
        <w:rPr>
          <w:rFonts w:ascii="Arial" w:cs="Arial" w:eastAsia="Arial" w:hAnsi="Arial"/>
          <w:color w:val="1c212b"/>
          <w:sz w:val="18"/>
          <w:szCs w:val="18"/>
          <w:highlight w:val="white"/>
          <w:rtl w:val="0"/>
        </w:rPr>
        <w:t xml:space="preserve">access to Level 1 PCI Compliant Card Storage and Tokenization;</w:t>
      </w:r>
    </w:p>
    <w:p w:rsidR="00000000" w:rsidDel="00000000" w:rsidP="00000000" w:rsidRDefault="00000000" w:rsidRPr="00000000" w14:paraId="0000001C">
      <w:pPr>
        <w:numPr>
          <w:ilvl w:val="0"/>
          <w:numId w:val="1"/>
        </w:numPr>
        <w:spacing w:line="276" w:lineRule="auto"/>
        <w:ind w:left="720" w:hanging="360"/>
        <w:jc w:val="left"/>
        <w:rPr>
          <w:rFonts w:ascii="Arial" w:cs="Arial" w:eastAsia="Arial" w:hAnsi="Arial"/>
          <w:color w:val="1c212b"/>
          <w:sz w:val="18"/>
          <w:szCs w:val="18"/>
          <w:highlight w:val="white"/>
        </w:rPr>
      </w:pPr>
      <w:r w:rsidDel="00000000" w:rsidR="00000000" w:rsidRPr="00000000">
        <w:rPr>
          <w:rFonts w:ascii="Arial" w:cs="Arial" w:eastAsia="Arial" w:hAnsi="Arial"/>
          <w:color w:val="1c212b"/>
          <w:sz w:val="18"/>
          <w:szCs w:val="18"/>
          <w:highlight w:val="white"/>
          <w:rtl w:val="0"/>
        </w:rPr>
        <w:t xml:space="preserve">connections to any of Spreedly’s Supported Gateway integrations;</w:t>
      </w:r>
    </w:p>
    <w:p w:rsidR="00000000" w:rsidDel="00000000" w:rsidP="00000000" w:rsidRDefault="00000000" w:rsidRPr="00000000" w14:paraId="0000001D">
      <w:pPr>
        <w:numPr>
          <w:ilvl w:val="0"/>
          <w:numId w:val="1"/>
        </w:numPr>
        <w:spacing w:line="276" w:lineRule="auto"/>
        <w:ind w:left="720" w:hanging="360"/>
        <w:jc w:val="left"/>
        <w:rPr>
          <w:rFonts w:ascii="Arial" w:cs="Arial" w:eastAsia="Arial" w:hAnsi="Arial"/>
          <w:color w:val="1c212b"/>
          <w:sz w:val="18"/>
          <w:szCs w:val="18"/>
          <w:highlight w:val="white"/>
        </w:rPr>
      </w:pPr>
      <w:r w:rsidDel="00000000" w:rsidR="00000000" w:rsidRPr="00000000">
        <w:rPr>
          <w:rFonts w:ascii="Arial" w:cs="Arial" w:eastAsia="Arial" w:hAnsi="Arial"/>
          <w:color w:val="1c212b"/>
          <w:sz w:val="18"/>
          <w:szCs w:val="18"/>
          <w:highlight w:val="white"/>
          <w:rtl w:val="0"/>
        </w:rPr>
        <w:t xml:space="preserve">use of existing 3DS2 services and gateway Supported Payment Methods; and</w:t>
      </w:r>
    </w:p>
    <w:p w:rsidR="00000000" w:rsidDel="00000000" w:rsidP="00000000" w:rsidRDefault="00000000" w:rsidRPr="00000000" w14:paraId="0000001E">
      <w:pPr>
        <w:numPr>
          <w:ilvl w:val="0"/>
          <w:numId w:val="1"/>
        </w:numPr>
        <w:spacing w:line="276" w:lineRule="auto"/>
        <w:ind w:left="720" w:hanging="360"/>
        <w:jc w:val="left"/>
        <w:rPr>
          <w:rFonts w:ascii="Arial" w:cs="Arial" w:eastAsia="Arial" w:hAnsi="Arial"/>
          <w:color w:val="1c212b"/>
          <w:sz w:val="18"/>
          <w:szCs w:val="18"/>
          <w:highlight w:val="white"/>
        </w:rPr>
      </w:pPr>
      <w:r w:rsidDel="00000000" w:rsidR="00000000" w:rsidRPr="00000000">
        <w:rPr>
          <w:rFonts w:ascii="Arial" w:cs="Arial" w:eastAsia="Arial" w:hAnsi="Arial"/>
          <w:color w:val="1c212b"/>
          <w:sz w:val="18"/>
          <w:szCs w:val="18"/>
          <w:highlight w:val="white"/>
          <w:rtl w:val="0"/>
        </w:rPr>
        <w:t xml:space="preserve">all currently available Payment Method Distribution receiver endpoints.</w:t>
      </w:r>
      <w:r w:rsidDel="00000000" w:rsidR="00000000" w:rsidRPr="00000000">
        <w:rPr>
          <w:rtl w:val="0"/>
        </w:rPr>
      </w:r>
    </w:p>
    <w:p w:rsidR="00000000" w:rsidDel="00000000" w:rsidP="00000000" w:rsidRDefault="00000000" w:rsidRPr="00000000" w14:paraId="0000001F">
      <w:pPr>
        <w:ind w:right="0"/>
        <w:jc w:val="left"/>
        <w:rPr>
          <w:rFonts w:ascii="Arial" w:cs="Arial" w:eastAsia="Arial" w:hAnsi="Arial"/>
        </w:rPr>
      </w:pPr>
      <w:r w:rsidDel="00000000" w:rsidR="00000000" w:rsidRPr="00000000">
        <w:rPr>
          <w:rtl w:val="0"/>
        </w:rPr>
      </w:r>
    </w:p>
    <w:tbl>
      <w:tblPr>
        <w:tblStyle w:val="Table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1"/>
        </w:trPr>
        <w:tc>
          <w:tcPr>
            <w:gridSpan w:val="2"/>
            <w:tcBorders>
              <w:top w:color="d7d2cb" w:space="0" w:sz="4" w:val="single"/>
              <w:left w:color="d7d2cb" w:space="0" w:sz="4" w:val="single"/>
              <w:right w:color="d7d2cb" w:space="0" w:sz="4" w:val="single"/>
            </w:tcBorders>
            <w:shd w:fill="0077c8" w:val="clear"/>
          </w:tcPr>
          <w:p w:rsidR="00000000" w:rsidDel="00000000" w:rsidP="00000000" w:rsidRDefault="00000000" w:rsidRPr="00000000" w14:paraId="0000002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Table 1</w:t>
            </w:r>
          </w:p>
        </w:tc>
      </w:tr>
      <w:tr>
        <w:trPr>
          <w:cantSplit w:val="0"/>
          <w:tblHeader w:val="1"/>
        </w:trPr>
        <w:tc>
          <w:tcPr>
            <w:tcBorders>
              <w:left w:color="d7d2cb" w:space="0" w:sz="4" w:val="single"/>
            </w:tcBorders>
          </w:tcPr>
          <w:p w:rsidR="00000000" w:rsidDel="00000000" w:rsidP="00000000" w:rsidRDefault="00000000" w:rsidRPr="00000000" w14:paraId="00000022">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w:t>
            </w:r>
          </w:p>
        </w:tc>
        <w:tc>
          <w:tcPr>
            <w:tcBorders>
              <w:right w:color="d7d2cb" w:space="0" w:sz="4" w:val="single"/>
            </w:tcBorders>
          </w:tcPr>
          <w:p w:rsidR="00000000" w:rsidDel="00000000" w:rsidP="00000000" w:rsidRDefault="00000000" w:rsidRPr="00000000" w14:paraId="00000023">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$18,000</w:t>
            </w:r>
          </w:p>
        </w:tc>
      </w:tr>
      <w:tr>
        <w:trPr>
          <w:cantSplit w:val="0"/>
          <w:tblHeader w:val="0"/>
        </w:trPr>
        <w:tc>
          <w:tcPr>
            <w:tcBorders>
              <w:left w:color="d7d2cb" w:space="0" w:sz="4" w:val="single"/>
            </w:tcBorders>
          </w:tcPr>
          <w:p w:rsidR="00000000" w:rsidDel="00000000" w:rsidP="00000000" w:rsidRDefault="00000000" w:rsidRPr="00000000" w14:paraId="00000024">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w:t>
            </w:r>
          </w:p>
        </w:tc>
        <w:tc>
          <w:tcPr>
            <w:tcBorders>
              <w:right w:color="d7d2cb" w:space="0" w:sz="4" w:val="single"/>
            </w:tcBorders>
          </w:tcPr>
          <w:p w:rsidR="00000000" w:rsidDel="00000000" w:rsidP="00000000" w:rsidRDefault="00000000" w:rsidRPr="00000000" w14:paraId="00000025">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$5,000</w:t>
            </w:r>
          </w:p>
        </w:tc>
      </w:tr>
      <w:tr>
        <w:trPr>
          <w:cantSplit w:val="0"/>
          <w:tblHeader w:val="0"/>
        </w:trPr>
        <w:tc>
          <w:tcPr>
            <w:tcBorders>
              <w:left w:color="d7d2cb" w:space="0" w:sz="4" w:val="single"/>
            </w:tcBorders>
          </w:tcPr>
          <w:p w:rsidR="00000000" w:rsidDel="00000000" w:rsidP="00000000" w:rsidRDefault="00000000" w:rsidRPr="00000000" w14:paraId="0000002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Included API Calls - 500,000</w:t>
            </w:r>
          </w:p>
        </w:tc>
        <w:tc>
          <w:tcPr>
            <w:tcBorders>
              <w:right w:color="d7d2cb" w:space="0" w:sz="4" w:val="single"/>
            </w:tcBorders>
          </w:tcPr>
          <w:p w:rsidR="00000000" w:rsidDel="00000000" w:rsidP="00000000" w:rsidRDefault="00000000" w:rsidRPr="00000000" w14:paraId="00000027">
            <w:pPr>
              <w:jc w:val="left"/>
              <w:rPr>
                <w:rFonts w:ascii="Arial" w:cs="Arial" w:eastAsia="Arial" w:hAnsi="Arial"/>
                <w:sz w:val="18"/>
                <w:szCs w:val="18"/>
              </w:rPr>
            </w:pPr>
            <w:r w:rsidDel="00000000" w:rsidR="00000000" w:rsidRPr="00000000">
              <w:rPr>
                <w:rtl w:val="0"/>
              </w:rPr>
            </w:r>
          </w:p>
        </w:tc>
      </w:tr>
      <w:tr>
        <w:trPr>
          <w:cantSplit w:val="0"/>
          <w:tblHeader w:val="0"/>
        </w:trPr>
        <w:tc>
          <w:tcPr>
            <w:tcBorders>
              <w:left w:color="d7d2cb" w:space="0" w:sz="4" w:val="single"/>
            </w:tcBorders>
          </w:tcPr>
          <w:p w:rsidR="00000000" w:rsidDel="00000000" w:rsidP="00000000" w:rsidRDefault="00000000" w:rsidRPr="00000000" w14:paraId="00000028">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   Cost per API Call - $0.01</w:t>
            </w:r>
          </w:p>
        </w:tc>
        <w:tc>
          <w:tcPr>
            <w:tcBorders>
              <w:right w:color="d7d2cb" w:space="0" w:sz="4" w:val="single"/>
            </w:tcBorders>
          </w:tcPr>
          <w:p w:rsidR="00000000" w:rsidDel="00000000" w:rsidP="00000000" w:rsidRDefault="00000000" w:rsidRPr="00000000" w14:paraId="00000029">
            <w:pPr>
              <w:jc w:val="left"/>
              <w:rPr>
                <w:rFonts w:ascii="Arial" w:cs="Arial" w:eastAsia="Arial" w:hAnsi="Arial"/>
                <w:sz w:val="18"/>
                <w:szCs w:val="18"/>
              </w:rPr>
            </w:pPr>
            <w:r w:rsidDel="00000000" w:rsidR="00000000" w:rsidRPr="00000000">
              <w:rPr>
                <w:rtl w:val="0"/>
              </w:rPr>
            </w:r>
          </w:p>
        </w:tc>
      </w:tr>
      <w:tr>
        <w:trPr>
          <w:cantSplit w:val="0"/>
          <w:tblHeader w:val="0"/>
        </w:trPr>
        <w:tc>
          <w:tcPr>
            <w:tcBorders>
              <w:left w:color="d7d2cb" w:space="0" w:sz="4" w:val="single"/>
              <w:bottom w:color="d7d2cb" w:space="0" w:sz="12" w:val="single"/>
            </w:tcBorders>
          </w:tcPr>
          <w:p w:rsidR="00000000" w:rsidDel="00000000" w:rsidP="00000000" w:rsidRDefault="00000000" w:rsidRPr="00000000" w14:paraId="0000002A">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Business Support</w:t>
            </w:r>
          </w:p>
        </w:tc>
        <w:tc>
          <w:tcPr>
            <w:tcBorders>
              <w:bottom w:color="d7d2cb" w:space="0" w:sz="12" w:val="single"/>
              <w:right w:color="d7d2cb" w:space="0" w:sz="4" w:val="single"/>
            </w:tcBorders>
          </w:tcPr>
          <w:p w:rsidR="00000000" w:rsidDel="00000000" w:rsidP="00000000" w:rsidRDefault="00000000" w:rsidRPr="00000000" w14:paraId="0000002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Included</w:t>
            </w:r>
          </w:p>
        </w:tc>
      </w:tr>
      <w:tr>
        <w:trPr>
          <w:cantSplit w:val="0"/>
          <w:tblHeader w:val="0"/>
        </w:trPr>
        <w:tc>
          <w:tcPr>
            <w:tcBorders>
              <w:left w:color="d7d2cb" w:space="0" w:sz="4" w:val="single"/>
              <w:bottom w:color="d7d2cb" w:space="0" w:sz="12" w:val="single"/>
            </w:tcBorders>
          </w:tcPr>
          <w:p w:rsidR="00000000" w:rsidDel="00000000" w:rsidP="00000000" w:rsidRDefault="00000000" w:rsidRPr="00000000" w14:paraId="0000002C">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Minimum Advanced Vault Fees</w:t>
            </w:r>
          </w:p>
        </w:tc>
        <w:tc>
          <w:tcPr>
            <w:tcBorders>
              <w:bottom w:color="d7d2cb" w:space="0" w:sz="12" w:val="single"/>
              <w:right w:color="d7d2cb" w:space="0" w:sz="4" w:val="single"/>
            </w:tcBorders>
          </w:tcPr>
          <w:p w:rsidR="00000000" w:rsidDel="00000000" w:rsidP="00000000" w:rsidRDefault="00000000" w:rsidRPr="00000000" w14:paraId="0000002D">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$16,875                             See Table 2 below</w:t>
            </w:r>
          </w:p>
        </w:tc>
      </w:tr>
      <w:tr>
        <w:trPr>
          <w:cantSplit w:val="0"/>
          <w:tblHeader w:val="0"/>
        </w:trPr>
        <w:tc>
          <w:tcPr>
            <w:tcBorders>
              <w:top w:color="d7d2cb" w:space="0" w:sz="12" w:val="single"/>
            </w:tcBorders>
            <w:shd w:fill="a7e9e1" w:val="clear"/>
          </w:tcPr>
          <w:p w:rsidR="00000000" w:rsidDel="00000000" w:rsidP="00000000" w:rsidRDefault="00000000" w:rsidRPr="00000000" w14:paraId="0000002E">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Committed Annual Fees</w:t>
            </w:r>
          </w:p>
        </w:tc>
        <w:tc>
          <w:tcPr>
            <w:tcBorders>
              <w:top w:color="d7d2cb" w:space="0" w:sz="12" w:val="single"/>
            </w:tcBorders>
            <w:shd w:fill="a7e9e1" w:val="clear"/>
          </w:tcPr>
          <w:p w:rsidR="00000000" w:rsidDel="00000000" w:rsidP="00000000" w:rsidRDefault="00000000" w:rsidRPr="00000000" w14:paraId="0000002F">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$39,875</w:t>
            </w:r>
          </w:p>
        </w:tc>
      </w:tr>
    </w:tbl>
    <w:p w:rsidR="00000000" w:rsidDel="00000000" w:rsidP="00000000" w:rsidRDefault="00000000" w:rsidRPr="00000000" w14:paraId="00000030">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1">
      <w:pPr>
        <w:spacing w:line="20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2">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3) API Usage Fees. </w:t>
      </w:r>
      <w:r w:rsidDel="00000000" w:rsidR="00000000" w:rsidRPr="00000000">
        <w:rPr>
          <w:rFonts w:ascii="Arial" w:cs="Arial" w:eastAsia="Arial" w:hAnsi="Arial"/>
          <w:sz w:val="18"/>
          <w:szCs w:val="18"/>
          <w:rtl w:val="0"/>
        </w:rPr>
        <w:t xml:space="preserve">In addition to the Annual Platform Fee, Customer is pre-purchasing 500,000 API calls to the Spreedly </w:t>
      </w:r>
    </w:p>
    <w:p w:rsidR="00000000" w:rsidDel="00000000" w:rsidP="00000000" w:rsidRDefault="00000000" w:rsidRPr="00000000" w14:paraId="00000033">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Platform at a cost of $0.01 per call (“API Usage Fee”) to be utilized during the Initial Term. The total committed API Usage Fee </w:t>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during the Initial Term is $5,000. Spreedly will invoice Customer monthly in arrears at the rate of $</w:t>
      </w:r>
      <w:r w:rsidDel="00000000" w:rsidR="00000000" w:rsidRPr="00000000">
        <w:rPr>
          <w:rFonts w:ascii="Arial" w:cs="Arial" w:eastAsia="Arial" w:hAnsi="Arial"/>
          <w:sz w:val="18"/>
          <w:szCs w:val="18"/>
          <w:rtl w:val="0"/>
        </w:rPr>
        <w:t xml:space="preserve">0.01</w:t>
      </w:r>
      <w:r w:rsidDel="00000000" w:rsidR="00000000" w:rsidRPr="00000000">
        <w:rPr>
          <w:rFonts w:ascii="Arial" w:cs="Arial" w:eastAsia="Arial" w:hAnsi="Arial"/>
          <w:sz w:val="18"/>
          <w:szCs w:val="18"/>
          <w:rtl w:val="0"/>
        </w:rPr>
        <w:t xml:space="preserve"> for any additional API </w:t>
      </w:r>
    </w:p>
    <w:p w:rsidR="00000000" w:rsidDel="00000000" w:rsidP="00000000" w:rsidRDefault="00000000" w:rsidRPr="00000000" w14:paraId="00000035">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call more than the initial purchase volume of 500,000. All pre-purchased API calls expire at the end of the Contract Year in </w:t>
      </w:r>
    </w:p>
    <w:p w:rsidR="00000000" w:rsidDel="00000000" w:rsidP="00000000" w:rsidRDefault="00000000" w:rsidRPr="00000000" w14:paraId="00000036">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which they were purchased.</w:t>
      </w:r>
    </w:p>
    <w:p w:rsidR="00000000" w:rsidDel="00000000" w:rsidP="00000000" w:rsidRDefault="00000000" w:rsidRPr="00000000" w14:paraId="00000037">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8">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4) Renewal Terms Fees. </w:t>
      </w:r>
      <w:r w:rsidDel="00000000" w:rsidR="00000000" w:rsidRPr="00000000">
        <w:rPr>
          <w:rFonts w:ascii="Arial" w:cs="Arial" w:eastAsia="Arial" w:hAnsi="Arial"/>
          <w:sz w:val="18"/>
          <w:szCs w:val="18"/>
          <w:highlight w:val="white"/>
          <w:rtl w:val="0"/>
        </w:rPr>
        <w:t xml:space="preserve">Except as otherwise agreed by the Parties in writing, the Annual Platform Fee and API Usage Fee will increase by 6% over the prior Contract Year in each successive Renewal Term.</w:t>
      </w:r>
      <w:r w:rsidDel="00000000" w:rsidR="00000000" w:rsidRPr="00000000">
        <w:rPr>
          <w:rtl w:val="0"/>
        </w:rPr>
      </w:r>
    </w:p>
    <w:p w:rsidR="00000000" w:rsidDel="00000000" w:rsidP="00000000" w:rsidRDefault="00000000" w:rsidRPr="00000000" w14:paraId="00000039">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A">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5) </w:t>
      </w:r>
      <w:r w:rsidDel="00000000" w:rsidR="00000000" w:rsidRPr="00000000">
        <w:rPr>
          <w:rFonts w:ascii="Arial" w:cs="Arial" w:eastAsia="Arial" w:hAnsi="Arial"/>
          <w:b w:val="1"/>
          <w:sz w:val="18"/>
          <w:szCs w:val="18"/>
          <w:rtl w:val="0"/>
        </w:rPr>
        <w:t xml:space="preserve">Advanced Vault. </w:t>
      </w:r>
      <w:r w:rsidDel="00000000" w:rsidR="00000000" w:rsidRPr="00000000">
        <w:rPr>
          <w:rFonts w:ascii="Arial" w:cs="Arial" w:eastAsia="Arial" w:hAnsi="Arial"/>
          <w:sz w:val="18"/>
          <w:szCs w:val="18"/>
          <w:rtl w:val="0"/>
        </w:rPr>
        <w:t xml:space="preserve">Spreedly’s Advanced Vaulting service will be charged the greater of (i) the rate corresponding to</w:t>
      </w:r>
    </w:p>
    <w:p w:rsidR="00000000" w:rsidDel="00000000" w:rsidP="00000000" w:rsidRDefault="00000000" w:rsidRPr="00000000" w14:paraId="0000003B">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the number of enrolled payment methods in each month of service or (ii) the minimum committed monthly fee, each as set out</w:t>
      </w:r>
    </w:p>
    <w:p w:rsidR="00000000" w:rsidDel="00000000" w:rsidP="00000000" w:rsidRDefault="00000000" w:rsidRPr="00000000" w14:paraId="0000003C">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in Table 2 below. Costs are exclusive of fees imposed by the card associations and/or third-party service providers (e.g., card</w:t>
      </w:r>
    </w:p>
    <w:p w:rsidR="00000000" w:rsidDel="00000000" w:rsidP="00000000" w:rsidRDefault="00000000" w:rsidRPr="00000000" w14:paraId="0000003D">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updates, tokenization, etc.) which will be passed through to Customer, without markup, and are subject to change at any time.</w:t>
      </w:r>
    </w:p>
    <w:p w:rsidR="00000000" w:rsidDel="00000000" w:rsidP="00000000" w:rsidRDefault="00000000" w:rsidRPr="00000000" w14:paraId="0000003E">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For the avoidance of doubt, Customer will still be charged the third-party fee each time a payment card is updated. Spreedly</w:t>
      </w:r>
    </w:p>
    <w:p w:rsidR="00000000" w:rsidDel="00000000" w:rsidP="00000000" w:rsidRDefault="00000000" w:rsidRPr="00000000" w14:paraId="0000003F">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will make reasonable efforts to notify Customers in advance of changes to third party fees.</w:t>
      </w:r>
    </w:p>
    <w:p w:rsidR="00000000" w:rsidDel="00000000" w:rsidP="00000000" w:rsidRDefault="00000000" w:rsidRPr="00000000" w14:paraId="0000004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jc w:val="left"/>
        <w:rPr>
          <w:rFonts w:ascii="Arial" w:cs="Arial" w:eastAsia="Arial" w:hAnsi="Arial"/>
          <w:sz w:val="18"/>
          <w:szCs w:val="18"/>
        </w:rPr>
      </w:pPr>
      <w:r w:rsidDel="00000000" w:rsidR="00000000" w:rsidRPr="00000000">
        <w:rPr>
          <w:rtl w:val="0"/>
        </w:rPr>
      </w:r>
    </w:p>
    <w:tbl>
      <w:tblPr>
        <w:tblStyle w:val="Table3"/>
        <w:tblW w:w="10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36.551724137931"/>
        <w:gridCol w:w="4943.448275862069"/>
        <w:tblGridChange w:id="0">
          <w:tblGrid>
            <w:gridCol w:w="5136.551724137931"/>
            <w:gridCol w:w="4943.448275862069"/>
          </w:tblGrid>
        </w:tblGridChange>
      </w:tblGrid>
      <w:tr>
        <w:trPr>
          <w:cantSplit w:val="0"/>
          <w:trHeight w:val="270" w:hRule="atLeast"/>
          <w:tblHeader w:val="0"/>
        </w:trPr>
        <w:tc>
          <w:tcPr>
            <w:gridSpan w:val="2"/>
            <w:tcBorders>
              <w:top w:color="d7d2cb" w:space="0" w:sz="7" w:val="single"/>
              <w:left w:color="d7d2cb" w:space="0" w:sz="7" w:val="single"/>
              <w:bottom w:color="d7d2cb" w:space="0" w:sz="7" w:val="single"/>
              <w:right w:color="d7d2cb" w:space="0" w:sz="7" w:val="single"/>
            </w:tcBorders>
            <w:shd w:fill="0077c8" w:val="clear"/>
            <w:tcMar>
              <w:top w:w="20.0" w:type="dxa"/>
              <w:left w:w="20.0" w:type="dxa"/>
              <w:bottom w:w="20.0" w:type="dxa"/>
              <w:right w:w="20.0" w:type="dxa"/>
            </w:tcMar>
            <w:vAlign w:val="top"/>
          </w:tcPr>
          <w:p w:rsidR="00000000" w:rsidDel="00000000" w:rsidP="00000000" w:rsidRDefault="00000000" w:rsidRPr="00000000" w14:paraId="00000042">
            <w:pPr>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2</w:t>
            </w:r>
          </w:p>
        </w:tc>
      </w:tr>
      <w:tr>
        <w:trPr>
          <w:cantSplit w:val="0"/>
          <w:trHeight w:val="390" w:hRule="atLeast"/>
          <w:tblHeader w:val="0"/>
        </w:trPr>
        <w:tc>
          <w:tcPr>
            <w:tcBorders>
              <w:top w:color="000000" w:space="0" w:sz="0" w:val="nil"/>
              <w:left w:color="d7d2cb" w:space="0" w:sz="7" w:val="single"/>
              <w:bottom w:color="d7d2cb" w:space="0" w:sz="7" w:val="single"/>
              <w:right w:color="d7d2cb" w:space="0" w:sz="7" w:val="single"/>
            </w:tcBorders>
            <w:shd w:fill="a7e9e1" w:val="clear"/>
            <w:tcMar>
              <w:top w:w="20.0" w:type="dxa"/>
              <w:left w:w="20.0" w:type="dxa"/>
              <w:bottom w:w="20.0" w:type="dxa"/>
              <w:right w:w="20.0" w:type="dxa"/>
            </w:tcMar>
            <w:vAlign w:val="top"/>
          </w:tcPr>
          <w:p w:rsidR="00000000" w:rsidDel="00000000" w:rsidP="00000000" w:rsidRDefault="00000000" w:rsidRPr="00000000" w14:paraId="00000044">
            <w:pPr>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Payment Method</w:t>
            </w:r>
          </w:p>
        </w:tc>
        <w:tc>
          <w:tcPr>
            <w:tcBorders>
              <w:top w:color="000000" w:space="0" w:sz="0" w:val="nil"/>
              <w:left w:color="000000" w:space="0" w:sz="0" w:val="nil"/>
              <w:bottom w:color="d7d2cb" w:space="0" w:sz="7" w:val="single"/>
              <w:right w:color="d7d2cb" w:space="0" w:sz="7" w:val="single"/>
            </w:tcBorders>
            <w:shd w:fill="a7e9e1" w:val="clear"/>
            <w:tcMar>
              <w:top w:w="20.0" w:type="dxa"/>
              <w:left w:w="20.0" w:type="dxa"/>
              <w:bottom w:w="20.0" w:type="dxa"/>
              <w:right w:w="20.0" w:type="dxa"/>
            </w:tcMar>
            <w:vAlign w:val="top"/>
          </w:tcPr>
          <w:p w:rsidR="00000000" w:rsidDel="00000000" w:rsidP="00000000" w:rsidRDefault="00000000" w:rsidRPr="00000000" w14:paraId="00000045">
            <w:pPr>
              <w:spacing w:after="60" w:before="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Minimum Committed Monthly Fee</w:t>
            </w:r>
          </w:p>
        </w:tc>
      </w:tr>
      <w:tr>
        <w:trPr>
          <w:cantSplit w:val="0"/>
          <w:trHeight w:val="390" w:hRule="atLeast"/>
          <w:tblHeader w:val="0"/>
        </w:trPr>
        <w:tc>
          <w:tcPr>
            <w:tcBorders>
              <w:top w:color="000000" w:space="0" w:sz="0" w:val="nil"/>
              <w:left w:color="d7d2cb" w:space="0" w:sz="7" w:val="single"/>
              <w:bottom w:color="d7d2cb" w:space="0" w:sz="7" w:val="single"/>
              <w:right w:color="d7d2cb" w:space="0" w:sz="7" w:val="single"/>
            </w:tcBorders>
            <w:shd w:fill="auto" w:val="clear"/>
            <w:tcMar>
              <w:top w:w="20.0" w:type="dxa"/>
              <w:left w:w="20.0" w:type="dxa"/>
              <w:bottom w:w="20.0" w:type="dxa"/>
              <w:right w:w="20.0" w:type="dxa"/>
            </w:tcMar>
            <w:vAlign w:val="top"/>
          </w:tcPr>
          <w:p w:rsidR="00000000" w:rsidDel="00000000" w:rsidP="00000000" w:rsidRDefault="00000000" w:rsidRPr="00000000" w14:paraId="00000046">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$0.0225</w:t>
            </w:r>
          </w:p>
        </w:tc>
        <w:tc>
          <w:tcPr>
            <w:tcBorders>
              <w:top w:color="000000" w:space="0" w:sz="0" w:val="nil"/>
              <w:left w:color="000000" w:space="0" w:sz="0" w:val="nil"/>
              <w:bottom w:color="d7d2cb" w:space="0" w:sz="7" w:val="single"/>
              <w:right w:color="d7d2cb" w:space="0" w:sz="7" w:val="single"/>
            </w:tcBorders>
            <w:shd w:fill="auto" w:val="clear"/>
            <w:tcMar>
              <w:top w:w="20.0" w:type="dxa"/>
              <w:left w:w="20.0" w:type="dxa"/>
              <w:bottom w:w="20.0" w:type="dxa"/>
              <w:right w:w="20.0" w:type="dxa"/>
            </w:tcMar>
            <w:vAlign w:val="top"/>
          </w:tcPr>
          <w:p w:rsidR="00000000" w:rsidDel="00000000" w:rsidP="00000000" w:rsidRDefault="00000000" w:rsidRPr="00000000" w14:paraId="00000047">
            <w:pPr>
              <w:spacing w:after="60" w:before="6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$1,406.25</w:t>
            </w:r>
          </w:p>
        </w:tc>
      </w:tr>
    </w:tbl>
    <w:p w:rsidR="00000000" w:rsidDel="00000000" w:rsidP="00000000" w:rsidRDefault="00000000" w:rsidRPr="00000000" w14:paraId="00000048">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9">
      <w:pPr>
        <w:rPr>
          <w:rFonts w:ascii="Arial" w:cs="Arial" w:eastAsia="Arial" w:hAnsi="Arial"/>
          <w:sz w:val="18"/>
          <w:szCs w:val="18"/>
        </w:rPr>
      </w:pPr>
      <w:r w:rsidDel="00000000" w:rsidR="00000000" w:rsidRPr="00000000">
        <w:rPr>
          <w:rFonts w:ascii="Arial" w:cs="Arial" w:eastAsia="Arial" w:hAnsi="Arial"/>
          <w:sz w:val="18"/>
          <w:szCs w:val="18"/>
          <w:rtl w:val="0"/>
        </w:rPr>
        <w:t xml:space="preserve">If this Order Form becomes effective on or before 30 November 2023, Spreedly will apply a one-time discount of $1,406.26 applied in two equal installments of $703.13 to the first two month’s invoices for Advanced Vault Fees. </w:t>
      </w:r>
      <w:r w:rsidDel="00000000" w:rsidR="00000000" w:rsidRPr="00000000">
        <w:rPr>
          <w:rtl w:val="0"/>
        </w:rPr>
      </w:r>
    </w:p>
    <w:p w:rsidR="00000000" w:rsidDel="00000000" w:rsidP="00000000" w:rsidRDefault="00000000" w:rsidRPr="00000000" w14:paraId="0000004A">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B">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6) Support Services. </w:t>
      </w:r>
      <w:r w:rsidDel="00000000" w:rsidR="00000000" w:rsidRPr="00000000">
        <w:rPr>
          <w:rFonts w:ascii="Arial" w:cs="Arial" w:eastAsia="Arial" w:hAnsi="Arial"/>
          <w:sz w:val="18"/>
          <w:szCs w:val="18"/>
          <w:rtl w:val="0"/>
        </w:rPr>
        <w:t xml:space="preserve">Customer has selected Business Support.</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Upon payment of the applicable fees, Spreedly will provide the technical Support Services in accordance with the Support Service Terms posted at</w:t>
      </w:r>
      <w:hyperlink r:id="rId7">
        <w:r w:rsidDel="00000000" w:rsidR="00000000" w:rsidRPr="00000000">
          <w:rPr>
            <w:rFonts w:ascii="Arial" w:cs="Arial" w:eastAsia="Arial" w:hAnsi="Arial"/>
            <w:sz w:val="18"/>
            <w:szCs w:val="18"/>
            <w:rtl w:val="0"/>
          </w:rPr>
          <w:t xml:space="preserve"> </w:t>
        </w:r>
      </w:hyperlink>
      <w:hyperlink r:id="rId8">
        <w:r w:rsidDel="00000000" w:rsidR="00000000" w:rsidRPr="00000000">
          <w:rPr>
            <w:rFonts w:ascii="Arial" w:cs="Arial" w:eastAsia="Arial" w:hAnsi="Arial"/>
            <w:color w:val="1155cc"/>
            <w:sz w:val="18"/>
            <w:szCs w:val="18"/>
            <w:u w:val="single"/>
            <w:rtl w:val="0"/>
          </w:rPr>
          <w:t xml:space="preserve">https://www.spreedly.com/support-services-terms</w:t>
        </w:r>
      </w:hyperlink>
      <w:r w:rsidDel="00000000" w:rsidR="00000000" w:rsidRPr="00000000">
        <w:rPr>
          <w:rFonts w:ascii="Arial" w:cs="Arial" w:eastAsia="Arial" w:hAnsi="Arial"/>
          <w:sz w:val="18"/>
          <w:szCs w:val="18"/>
          <w:rtl w:val="0"/>
        </w:rPr>
        <w:t xml:space="preserve"> at the support level specified in this Order Form.</w:t>
      </w:r>
    </w:p>
    <w:p w:rsidR="00000000" w:rsidDel="00000000" w:rsidP="00000000" w:rsidRDefault="00000000" w:rsidRPr="00000000" w14:paraId="0000004C">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 Payments.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Customer will pay the total Committed Annual Fees for the first Contract Year in equal monthly payments together with the applicable Advanced Vault Fees. The first monthly payment is due within 30 days of the Order Form Effective Date.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Each subsequent monthly payment will be due and payable 30 days after the applicable invoice date. The pre-purchased API calls utilized by Customer are not limited by the above payment schedule. Additional API Usages Fees (if any) will be invoiced monthly.</w:t>
      </w:r>
      <w:r w:rsidDel="00000000" w:rsidR="00000000" w:rsidRPr="00000000">
        <w:rPr>
          <w:rtl w:val="0"/>
        </w:rPr>
      </w:r>
    </w:p>
    <w:p w:rsidR="00000000" w:rsidDel="00000000" w:rsidP="00000000" w:rsidRDefault="00000000" w:rsidRPr="00000000" w14:paraId="0000004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50">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1">
      <w:pPr>
        <w:numPr>
          <w:ilvl w:val="0"/>
          <w:numId w:val="2"/>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5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5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5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5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5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5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5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5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5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numPr>
          <w:ilvl w:val="0"/>
          <w:numId w:val="2"/>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5D">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F">
      <w:pPr>
        <w:tabs>
          <w:tab w:val="left" w:leader="none" w:pos="1080"/>
        </w:tabs>
        <w:spacing w:after="240" w:lineRule="auto"/>
        <w:ind w:left="0" w:firstLine="0"/>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6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63">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4">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4"/>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65">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66">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67">
            <w:pPr>
              <w:spacing w:after="180" w:line="181"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68">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9">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Loyal Zoo Ltd</w:t>
            </w:r>
          </w:p>
          <w:p w:rsidR="00000000" w:rsidDel="00000000" w:rsidP="00000000" w:rsidRDefault="00000000" w:rsidRPr="00000000" w14:paraId="0000006B">
            <w:pPr>
              <w:spacing w:after="180" w:line="181"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C">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6E">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F">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71">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73">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4">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76">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78">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9">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7B">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C">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7D">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7E">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80">
      <w:pPr>
        <w:spacing w:after="180" w:line="201" w:lineRule="auto"/>
        <w:ind w:right="72"/>
        <w:rPr>
          <w:rFonts w:ascii="Arial" w:cs="Arial" w:eastAsia="Arial" w:hAnsi="Arial"/>
          <w:sz w:val="18"/>
          <w:szCs w:val="18"/>
        </w:rPr>
      </w:pPr>
      <w:r w:rsidDel="00000000" w:rsidR="00000000" w:rsidRPr="00000000">
        <w:rPr>
          <w:rtl w:val="0"/>
        </w:rPr>
      </w:r>
    </w:p>
    <w:sectPr>
      <w:headerReference r:id="rId9" w:type="default"/>
      <w:footerReference r:id="rId10" w:type="default"/>
      <w:footerReference r:id="rId11"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59815" cy="5969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-28573</wp:posOffset>
          </wp:positionV>
          <wp:extent cx="1405956" cy="322799"/>
          <wp:effectExtent b="0" l="0" r="0" t="0"/>
          <wp:wrapNone/>
          <wp:docPr id="10" name="image1.jpg"/>
          <a:graphic>
            <a:graphicData uri="http://schemas.openxmlformats.org/drawingml/2006/picture">
              <pic:pic>
                <pic:nvPicPr>
                  <pic:cNvPr id="0" name="image1.jpg"/>
                  <pic:cNvPicPr preferRelativeResize="0"/>
                </pic:nvPicPr>
                <pic:blipFill>
                  <a:blip r:embed="rId1"/>
                  <a:srcRect b="0" l="21" r="22"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reedly.com/support-services-terms" TargetMode="External"/><Relationship Id="rId8" Type="http://schemas.openxmlformats.org/officeDocument/2006/relationships/hyperlink" Target="https://www.spreedly.com/support-services-term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ihcOAfnhDpOuf5oDsL5o7yUR0g==">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