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#2</w:t>
      </w:r>
    </w:p>
    <w:p w:rsidR="00000000" w:rsidDel="00000000" w:rsidP="00000000" w:rsidRDefault="00000000" w:rsidRPr="00000000" w14:paraId="00000003">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10"/>
        <w:gridCol w:w="405"/>
        <w:gridCol w:w="2265"/>
        <w:tblGridChange w:id="0">
          <w:tblGrid>
            <w:gridCol w:w="7410"/>
            <w:gridCol w:w="405"/>
            <w:gridCol w:w="2265"/>
          </w:tblGrid>
        </w:tblGridChange>
      </w:tblGrid>
      <w:tr>
        <w:trPr>
          <w:cantSplit w:val="0"/>
          <w:tblHeader w:val="0"/>
        </w:trPr>
        <w:tc>
          <w:tcPr/>
          <w:p w:rsidR="00000000" w:rsidDel="00000000" w:rsidP="00000000" w:rsidRDefault="00000000" w:rsidRPr="00000000" w14:paraId="00000004">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B">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To: </w:t>
            </w:r>
            <w:r w:rsidDel="00000000" w:rsidR="00000000" w:rsidRPr="00000000">
              <w:rPr>
                <w:rFonts w:ascii="Arial" w:cs="Arial" w:eastAsia="Arial" w:hAnsi="Arial"/>
                <w:sz w:val="18"/>
                <w:szCs w:val="18"/>
                <w:rtl w:val="0"/>
              </w:rPr>
              <w:t xml:space="preserve">Ramp Swaps Accounts Payable</w:t>
            </w:r>
          </w:p>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w:t>
            </w:r>
            <w:r w:rsidDel="00000000" w:rsidR="00000000" w:rsidRPr="00000000">
              <w:rPr>
                <w:rFonts w:ascii="Arial" w:cs="Arial" w:eastAsia="Arial" w:hAnsi="Arial"/>
                <w:sz w:val="18"/>
                <w:szCs w:val="18"/>
                <w:rtl w:val="0"/>
              </w:rPr>
              <w:t xml:space="preserve"> Ramp Swaps Limited</w:t>
            </w:r>
          </w:p>
          <w:p w:rsidR="00000000" w:rsidDel="00000000" w:rsidP="00000000" w:rsidRDefault="00000000" w:rsidRPr="00000000" w14:paraId="0000000D">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Epworth House 25 City Road London EC1Y 1AA, UK</w:t>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on its behalf and on behalf of its affiliate:</w:t>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Ramp Swaps LLC, 87-2664742, 8 The Green Dover, DE 19901 (“Customer")</w:t>
            </w:r>
          </w:p>
          <w:p w:rsidR="00000000" w:rsidDel="00000000" w:rsidP="00000000" w:rsidRDefault="00000000" w:rsidRPr="00000000" w14:paraId="00000010">
            <w:pPr>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1">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Alex Fleming</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May 31, 2023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tabs>
          <w:tab w:val="left" w:leader="none" w:pos="547"/>
          <w:tab w:val="left" w:leader="none" w:pos="1620"/>
        </w:tabs>
        <w:spacing w:line="264"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12 months, after which this Order Form will automatically renew for successive 12-month periods (each, a “Renewal Term” and, together with the Initial Term, the “Term”) unless either party has provided written notice of its intent to not renew not less than sixty (60)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Fees. </w:t>
      </w:r>
      <w:r w:rsidDel="00000000" w:rsidR="00000000" w:rsidRPr="00000000">
        <w:rPr>
          <w:rFonts w:ascii="Arial" w:cs="Arial" w:eastAsia="Arial" w:hAnsi="Arial"/>
          <w:sz w:val="18"/>
          <w:szCs w:val="18"/>
          <w:rtl w:val="0"/>
        </w:rPr>
        <w:t xml:space="preserve">For each Contract Year, Customer will pay Spreedly an “Annual Platform Fee” which entitles Customer to the services set out in the table below.</w:t>
      </w:r>
      <w:r w:rsidDel="00000000" w:rsidR="00000000" w:rsidRPr="00000000">
        <w:rPr>
          <w:rtl w:val="0"/>
        </w:rPr>
      </w:r>
    </w:p>
    <w:p w:rsidR="00000000" w:rsidDel="00000000" w:rsidP="00000000" w:rsidRDefault="00000000" w:rsidRPr="00000000" w14:paraId="0000001B">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C">
      <w:pPr>
        <w:jc w:val="left"/>
        <w:rPr>
          <w:rFonts w:ascii="Arial" w:cs="Arial" w:eastAsia="Arial" w:hAnsi="Arial"/>
          <w:b w:val="1"/>
          <w:sz w:val="18"/>
          <w:szCs w:val="18"/>
        </w:rPr>
      </w:pPr>
      <w:r w:rsidDel="00000000" w:rsidR="00000000" w:rsidRPr="00000000">
        <w:rPr>
          <w:rtl w:val="0"/>
        </w:rPr>
      </w:r>
    </w:p>
    <w:tbl>
      <w:tblPr>
        <w:tblStyle w:val="Table2"/>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2175"/>
        <w:gridCol w:w="2190"/>
        <w:tblGridChange w:id="0">
          <w:tblGrid>
            <w:gridCol w:w="5610"/>
            <w:gridCol w:w="2175"/>
            <w:gridCol w:w="219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Enterprise Pricing Table</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Year 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$100,700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Existing Spreedly Endpoints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PCI Compliant Card Storage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Unlimited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Add New Standard PMD Endpoints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Unlimited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$62,500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 API Calls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12,500,000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Cost per API Call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$0.005</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Professional Support</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$163,200</w:t>
            </w:r>
          </w:p>
        </w:tc>
      </w:tr>
    </w:tbl>
    <w:p w:rsidR="00000000" w:rsidDel="00000000" w:rsidP="00000000" w:rsidRDefault="00000000" w:rsidRPr="00000000" w14:paraId="00000033">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4">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3) API Usage Fees. </w:t>
      </w:r>
      <w:r w:rsidDel="00000000" w:rsidR="00000000" w:rsidRPr="00000000">
        <w:rPr>
          <w:rFonts w:ascii="Arial" w:cs="Arial" w:eastAsia="Arial" w:hAnsi="Arial"/>
          <w:sz w:val="18"/>
          <w:szCs w:val="18"/>
          <w:rtl w:val="0"/>
        </w:rPr>
        <w:t xml:space="preserve">In addition to the </w:t>
      </w:r>
      <w:r w:rsidDel="00000000" w:rsidR="00000000" w:rsidRPr="00000000">
        <w:rPr>
          <w:rFonts w:ascii="Arial" w:cs="Arial" w:eastAsia="Arial" w:hAnsi="Arial"/>
          <w:sz w:val="18"/>
          <w:szCs w:val="18"/>
          <w:rtl w:val="0"/>
        </w:rPr>
        <w:t xml:space="preserve">Annual Platform Fee</w:t>
      </w:r>
      <w:r w:rsidDel="00000000" w:rsidR="00000000" w:rsidRPr="00000000">
        <w:rPr>
          <w:rFonts w:ascii="Arial" w:cs="Arial" w:eastAsia="Arial" w:hAnsi="Arial"/>
          <w:sz w:val="18"/>
          <w:szCs w:val="18"/>
          <w:rtl w:val="0"/>
        </w:rPr>
        <w:t xml:space="preserve">, Customer is pre-purchasing </w:t>
      </w:r>
      <w:r w:rsidDel="00000000" w:rsidR="00000000" w:rsidRPr="00000000">
        <w:rPr>
          <w:rFonts w:ascii="Arial" w:cs="Arial" w:eastAsia="Arial" w:hAnsi="Arial"/>
          <w:sz w:val="18"/>
          <w:szCs w:val="18"/>
          <w:rtl w:val="0"/>
        </w:rPr>
        <w:t xml:space="preserve">12,500,000 </w:t>
      </w:r>
      <w:r w:rsidDel="00000000" w:rsidR="00000000" w:rsidRPr="00000000">
        <w:rPr>
          <w:rFonts w:ascii="Arial" w:cs="Arial" w:eastAsia="Arial" w:hAnsi="Arial"/>
          <w:sz w:val="18"/>
          <w:szCs w:val="18"/>
          <w:rtl w:val="0"/>
        </w:rPr>
        <w:t xml:space="preserve">API calls to the Spreedly Platform at a cost of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0.0050</w:t>
      </w:r>
      <w:r w:rsidDel="00000000" w:rsidR="00000000" w:rsidRPr="00000000">
        <w:rPr>
          <w:rFonts w:ascii="Arial" w:cs="Arial" w:eastAsia="Arial" w:hAnsi="Arial"/>
          <w:sz w:val="18"/>
          <w:szCs w:val="18"/>
          <w:rtl w:val="0"/>
        </w:rPr>
        <w:t xml:space="preserve"> per call (“API Usage Fee”) to be utilized during the Initial Term. The total API Usage Fee during the Initial Term is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62,500</w:t>
      </w:r>
      <w:r w:rsidDel="00000000" w:rsidR="00000000" w:rsidRPr="00000000">
        <w:rPr>
          <w:rFonts w:ascii="Arial" w:cs="Arial" w:eastAsia="Arial" w:hAnsi="Arial"/>
          <w:sz w:val="18"/>
          <w:szCs w:val="18"/>
          <w:rtl w:val="0"/>
        </w:rPr>
        <w:t xml:space="preserve">. Spreedly will invoice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sz w:val="18"/>
          <w:szCs w:val="18"/>
          <w:rtl w:val="0"/>
        </w:rPr>
        <w:t xml:space="preserve"> monthly in arrears at the rate of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0.005</w:t>
      </w:r>
      <w:r w:rsidDel="00000000" w:rsidR="00000000" w:rsidRPr="00000000">
        <w:rPr>
          <w:rFonts w:ascii="Arial" w:cs="Arial" w:eastAsia="Arial" w:hAnsi="Arial"/>
          <w:sz w:val="18"/>
          <w:szCs w:val="18"/>
          <w:rtl w:val="0"/>
        </w:rPr>
        <w:t xml:space="preserve"> for any additional API call more than the initial purchase volume of </w:t>
      </w:r>
      <w:r w:rsidDel="00000000" w:rsidR="00000000" w:rsidRPr="00000000">
        <w:rPr>
          <w:rFonts w:ascii="Arial" w:cs="Arial" w:eastAsia="Arial" w:hAnsi="Arial"/>
          <w:sz w:val="18"/>
          <w:szCs w:val="18"/>
          <w:rtl w:val="0"/>
        </w:rPr>
        <w:t xml:space="preserve">12,500,000</w:t>
      </w:r>
      <w:r w:rsidDel="00000000" w:rsidR="00000000" w:rsidRPr="00000000">
        <w:rPr>
          <w:rFonts w:ascii="Arial" w:cs="Arial" w:eastAsia="Arial" w:hAnsi="Arial"/>
          <w:sz w:val="18"/>
          <w:szCs w:val="18"/>
          <w:rtl w:val="0"/>
        </w:rPr>
        <w:t xml:space="preserve">. All pre-purchased API calls expire at the end of the Contract Year in which they were purchased.</w:t>
      </w:r>
    </w:p>
    <w:p w:rsidR="00000000" w:rsidDel="00000000" w:rsidP="00000000" w:rsidRDefault="00000000" w:rsidRPr="00000000" w14:paraId="00000036">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4) Renewal Terms Fees. </w:t>
      </w:r>
      <w:r w:rsidDel="00000000" w:rsidR="00000000" w:rsidRPr="00000000">
        <w:rPr>
          <w:rFonts w:ascii="Arial" w:cs="Arial" w:eastAsia="Arial" w:hAnsi="Arial"/>
          <w:sz w:val="18"/>
          <w:szCs w:val="18"/>
          <w:highlight w:val="white"/>
          <w:rtl w:val="0"/>
        </w:rPr>
        <w:t xml:space="preserve">Except as otherwise agreed by the Parties in writing, the Annual Platform Fee and API Usage Fee will increase by 6% over the prior Contract Year in each successive Renewal Term.</w:t>
      </w:r>
      <w:r w:rsidDel="00000000" w:rsidR="00000000" w:rsidRPr="00000000">
        <w:rPr>
          <w:rtl w:val="0"/>
        </w:rPr>
      </w:r>
    </w:p>
    <w:p w:rsidR="00000000" w:rsidDel="00000000" w:rsidP="00000000" w:rsidRDefault="00000000" w:rsidRPr="00000000" w14:paraId="00000039">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5) Support Services. </w:t>
      </w:r>
      <w:r w:rsidDel="00000000" w:rsidR="00000000" w:rsidRPr="00000000">
        <w:rPr>
          <w:rFonts w:ascii="Arial" w:cs="Arial" w:eastAsia="Arial" w:hAnsi="Arial"/>
          <w:sz w:val="18"/>
          <w:szCs w:val="18"/>
          <w:rtl w:val="0"/>
        </w:rPr>
        <w:t xml:space="preserve">Customer has selected Professional Support.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w:t>
      </w:r>
      <w:hyperlink r:id="rId7">
        <w:r w:rsidDel="00000000" w:rsidR="00000000" w:rsidRPr="00000000">
          <w:rPr>
            <w:rFonts w:ascii="Arial" w:cs="Arial" w:eastAsia="Arial" w:hAnsi="Arial"/>
            <w:sz w:val="18"/>
            <w:szCs w:val="18"/>
            <w:rtl w:val="0"/>
          </w:rPr>
          <w:t xml:space="preserve"> </w:t>
        </w:r>
      </w:hyperlink>
      <w:hyperlink r:id="rId8">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in this Order Form.</w:t>
      </w:r>
    </w:p>
    <w:p w:rsidR="00000000" w:rsidDel="00000000" w:rsidP="00000000" w:rsidRDefault="00000000" w:rsidRPr="00000000" w14:paraId="0000003C">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w:t>
      </w:r>
      <w:r w:rsidDel="00000000" w:rsidR="00000000" w:rsidRPr="00000000">
        <w:rPr>
          <w:rFonts w:ascii="Arial" w:cs="Arial" w:eastAsia="Arial" w:hAnsi="Arial"/>
          <w:b w:val="1"/>
          <w:sz w:val="18"/>
          <w:szCs w:val="18"/>
          <w:rtl w:val="0"/>
        </w:rPr>
        <w:t xml:space="preserve">) Payments.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Customer will pay the Total Annual Fees in equal quarterly installments, with the first installment due and payable within 30 days of the Order Form Effective Date. Spreedly will invoice Customer for each subsequent quarterly payment 30 days prior to the three, six, and nine, month anniversaries of the Order Form Effective Date (a “QuarterlyPayment Date”), with such amounts due and payable prior to the relevant Quarterly Payment Date. For each subsequent Renewal Term, the first quarterly payment of such Renewal Term will be invoiced 30 days prior to the anniversary of the Order Form Effective Date (“Annual Renewal Date”) and will be due and payable prior to the Annual Renewal Date. All payments are subject to the terms prescribed in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sz w:val="18"/>
          <w:szCs w:val="18"/>
          <w:rtl w:val="0"/>
        </w:rPr>
        <w:t xml:space="preserve"> of the Agreement.</w:t>
      </w:r>
      <w:r w:rsidDel="00000000" w:rsidR="00000000" w:rsidRPr="00000000">
        <w:rPr>
          <w:rtl w:val="0"/>
        </w:rPr>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tabs>
          <w:tab w:val="left" w:leader="none" w:pos="1080"/>
        </w:tabs>
        <w:spacing w:after="240" w:lineRule="auto"/>
        <w:ind w:left="0" w:firstLine="0"/>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4">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5">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6">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7">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8">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Ramp Swaps Limited</w:t>
            </w:r>
            <w:r w:rsidDel="00000000" w:rsidR="00000000" w:rsidRPr="00000000">
              <w:rPr>
                <w:rtl w:val="0"/>
              </w:rPr>
            </w:r>
          </w:p>
          <w:p w:rsidR="00000000" w:rsidDel="00000000" w:rsidP="00000000" w:rsidRDefault="00000000" w:rsidRPr="00000000" w14:paraId="0000005A">
            <w:pPr>
              <w:spacing w:after="180" w:line="181"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D">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E">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60">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62">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3">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4">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5">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7">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8">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A">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C">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D">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F">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59815" cy="5969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-28573</wp:posOffset>
          </wp:positionV>
          <wp:extent cx="1405956" cy="322799"/>
          <wp:effectExtent b="0" l="0" r="0" t="0"/>
          <wp:wrapNone/>
          <wp:docPr id="10" name="image1.jpg"/>
          <a:graphic>
            <a:graphicData uri="http://schemas.openxmlformats.org/drawingml/2006/picture">
              <pic:pic>
                <pic:nvPicPr>
                  <pic:cNvPr id="0" name="image1.jpg"/>
                  <pic:cNvPicPr preferRelativeResize="0"/>
                </pic:nvPicPr>
                <pic:blipFill>
                  <a:blip r:embed="rId1"/>
                  <a:srcRect b="0" l="21" r="22"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support-services-terms" TargetMode="External"/><Relationship Id="rId8" Type="http://schemas.openxmlformats.org/officeDocument/2006/relationships/hyperlink" Target="https://www.spreedly.com/support-services-term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Za/+InrzAx1wk6FvO6XDPl0Q==">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