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AMENDMENT 2 TO SERVICE AGREEMENT</w:t>
      </w:r>
    </w:p>
    <w:p w:rsidR="00000000" w:rsidDel="00000000" w:rsidP="00000000" w:rsidRDefault="00000000" w:rsidRPr="00000000" w14:paraId="00000002">
      <w:pPr>
        <w:spacing w:after="240" w:before="120" w:line="274"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(Converting to Order Forms)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360"/>
        </w:tabs>
        <w:spacing w:after="18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Amendment (the “</w:t>
      </w:r>
      <w:r w:rsidDel="00000000" w:rsidR="00000000" w:rsidRPr="00000000">
        <w:rPr>
          <w:rFonts w:ascii="Arial" w:cs="Arial" w:eastAsia="Arial" w:hAnsi="Arial"/>
          <w:b w:val="1"/>
          <w:color w:val="000000"/>
          <w:sz w:val="18"/>
          <w:szCs w:val="18"/>
          <w:rtl w:val="0"/>
        </w:rPr>
        <w:t xml:space="preserve">Order Form Amendment</w:t>
      </w:r>
      <w:r w:rsidDel="00000000" w:rsidR="00000000" w:rsidRPr="00000000">
        <w:rPr>
          <w:rFonts w:ascii="Arial" w:cs="Arial" w:eastAsia="Arial" w:hAnsi="Arial"/>
          <w:color w:val="000000"/>
          <w:sz w:val="18"/>
          <w:szCs w:val="18"/>
          <w:rtl w:val="0"/>
        </w:rPr>
        <w:t xml:space="preserve">”) is effective as of </w:t>
      </w:r>
      <w:r w:rsidDel="00000000" w:rsidR="00000000" w:rsidRPr="00000000">
        <w:rPr>
          <w:rFonts w:ascii="Arial" w:cs="Arial" w:eastAsia="Arial" w:hAnsi="Arial"/>
          <w:sz w:val="18"/>
          <w:szCs w:val="18"/>
          <w:rtl w:val="0"/>
        </w:rPr>
        <w:t xml:space="preserve">January 8, 2023</w:t>
      </w:r>
      <w:r w:rsidDel="00000000" w:rsidR="00000000" w:rsidRPr="00000000">
        <w:rPr>
          <w:rFonts w:ascii="Arial" w:cs="Arial" w:eastAsia="Arial" w:hAnsi="Arial"/>
          <w:color w:val="000000"/>
          <w:sz w:val="18"/>
          <w:szCs w:val="18"/>
          <w:rtl w:val="0"/>
        </w:rPr>
        <w:t xml:space="preserve"> (the “</w:t>
      </w:r>
      <w:r w:rsidDel="00000000" w:rsidR="00000000" w:rsidRPr="00000000">
        <w:rPr>
          <w:rFonts w:ascii="Arial" w:cs="Arial" w:eastAsia="Arial" w:hAnsi="Arial"/>
          <w:b w:val="1"/>
          <w:color w:val="000000"/>
          <w:sz w:val="18"/>
          <w:szCs w:val="18"/>
          <w:rtl w:val="0"/>
        </w:rPr>
        <w:t xml:space="preserve">Amendment Effective Date</w:t>
      </w:r>
      <w:r w:rsidDel="00000000" w:rsidR="00000000" w:rsidRPr="00000000">
        <w:rPr>
          <w:rFonts w:ascii="Arial" w:cs="Arial" w:eastAsia="Arial" w:hAnsi="Arial"/>
          <w:color w:val="000000"/>
          <w:sz w:val="18"/>
          <w:szCs w:val="18"/>
          <w:rtl w:val="0"/>
        </w:rPr>
        <w:t xml:space="preserve">”), pursuant to the Service Agreement, dated January 8, 2019 (the “</w:t>
      </w:r>
      <w:r w:rsidDel="00000000" w:rsidR="00000000" w:rsidRPr="00000000">
        <w:rPr>
          <w:rFonts w:ascii="Arial" w:cs="Arial" w:eastAsia="Arial" w:hAnsi="Arial"/>
          <w:b w:val="1"/>
          <w:color w:val="000000"/>
          <w:sz w:val="18"/>
          <w:szCs w:val="18"/>
          <w:rtl w:val="0"/>
        </w:rPr>
        <w:t xml:space="preserve">Agreement</w:t>
      </w:r>
      <w:r w:rsidDel="00000000" w:rsidR="00000000" w:rsidRPr="00000000">
        <w:rPr>
          <w:rFonts w:ascii="Arial" w:cs="Arial" w:eastAsia="Arial" w:hAnsi="Arial"/>
          <w:color w:val="000000"/>
          <w:sz w:val="18"/>
          <w:szCs w:val="18"/>
          <w:rtl w:val="0"/>
        </w:rPr>
        <w:t xml:space="preserve">”), between Spreedly, Inc., (“</w:t>
      </w:r>
      <w:r w:rsidDel="00000000" w:rsidR="00000000" w:rsidRPr="00000000">
        <w:rPr>
          <w:rFonts w:ascii="Arial" w:cs="Arial" w:eastAsia="Arial" w:hAnsi="Arial"/>
          <w:b w:val="1"/>
          <w:color w:val="000000"/>
          <w:sz w:val="18"/>
          <w:szCs w:val="18"/>
          <w:rtl w:val="0"/>
        </w:rPr>
        <w:t xml:space="preserve">Spreedly</w:t>
      </w:r>
      <w:r w:rsidDel="00000000" w:rsidR="00000000" w:rsidRPr="00000000">
        <w:rPr>
          <w:rFonts w:ascii="Arial" w:cs="Arial" w:eastAsia="Arial" w:hAnsi="Arial"/>
          <w:color w:val="000000"/>
          <w:sz w:val="18"/>
          <w:szCs w:val="18"/>
          <w:rtl w:val="0"/>
        </w:rPr>
        <w:t xml:space="preserve">”) and Coulter Ventures, LLC d/b/a Rogue Fitness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Customer</w:t>
      </w:r>
      <w:r w:rsidDel="00000000" w:rsidR="00000000" w:rsidRPr="00000000">
        <w:rPr>
          <w:rFonts w:ascii="Arial" w:cs="Arial" w:eastAsia="Arial" w:hAnsi="Arial"/>
          <w:color w:val="000000"/>
          <w:sz w:val="18"/>
          <w:szCs w:val="18"/>
          <w:rtl w:val="0"/>
        </w:rPr>
        <w:t xml:space="preserve">”). Capitalized terms not otherwise defined herein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have the meanings given to such terms in the Agreement.</w:t>
      </w:r>
    </w:p>
    <w:p w:rsidR="00000000" w:rsidDel="00000000" w:rsidP="00000000" w:rsidRDefault="00000000" w:rsidRPr="00000000" w14:paraId="00000004">
      <w:pPr>
        <w:spacing w:after="18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Pursuant to Section </w:t>
      </w:r>
      <w:r w:rsidDel="00000000" w:rsidR="00000000" w:rsidRPr="00000000">
        <w:rPr>
          <w:rFonts w:ascii="Arial" w:cs="Arial" w:eastAsia="Arial" w:hAnsi="Arial"/>
          <w:sz w:val="18"/>
          <w:szCs w:val="18"/>
          <w:rtl w:val="0"/>
        </w:rPr>
        <w:t xml:space="preserve">19</w:t>
      </w:r>
      <w:r w:rsidDel="00000000" w:rsidR="00000000" w:rsidRPr="00000000">
        <w:rPr>
          <w:rFonts w:ascii="Arial" w:cs="Arial" w:eastAsia="Arial" w:hAnsi="Arial"/>
          <w:color w:val="000000"/>
          <w:sz w:val="18"/>
          <w:szCs w:val="18"/>
          <w:rtl w:val="0"/>
        </w:rPr>
        <w:t xml:space="preserve"> of the Agreement the parties hereby agree as follows:</w:t>
      </w:r>
    </w:p>
    <w:p w:rsidR="00000000" w:rsidDel="00000000" w:rsidP="00000000" w:rsidRDefault="00000000" w:rsidRPr="00000000" w14:paraId="00000005">
      <w:pPr>
        <w:numPr>
          <w:ilvl w:val="0"/>
          <w:numId w:val="2"/>
        </w:numPr>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Section 6 and the corresponding pricing Exhibit A is hereby deleted in its entirety and replaced with the following:</w:t>
      </w:r>
    </w:p>
    <w:p w:rsidR="00000000" w:rsidDel="00000000" w:rsidP="00000000" w:rsidRDefault="00000000" w:rsidRPr="00000000" w14:paraId="00000006">
      <w:pPr>
        <w:tabs>
          <w:tab w:val="left" w:leader="none" w:pos="360"/>
        </w:tabs>
        <w:spacing w:after="120" w:lineRule="auto"/>
        <w:ind w:left="360" w:firstLine="0"/>
        <w:jc w:val="both"/>
        <w:rPr>
          <w:rFonts w:ascii="Libre Franklin" w:cs="Libre Franklin" w:eastAsia="Libre Franklin" w:hAnsi="Libre Franklin"/>
          <w:sz w:val="18"/>
          <w:szCs w:val="18"/>
        </w:rPr>
      </w:pPr>
      <w:r w:rsidDel="00000000" w:rsidR="00000000" w:rsidRPr="00000000">
        <w:rPr>
          <w:rFonts w:ascii="Arial" w:cs="Arial" w:eastAsia="Arial" w:hAnsi="Arial"/>
          <w:sz w:val="18"/>
          <w:szCs w:val="18"/>
          <w:rtl w:val="0"/>
        </w:rPr>
        <w:t xml:space="preserve">6.</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tabs>
          <w:tab w:val="left" w:leader="none" w:pos="36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and this Section 6. All purchases are final, all payment obligations are non-cancelable and (except as otherwise expressly provided in this Agreement or in the applicable Order Form) all Fees once paid are non-refundable.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360"/>
        </w:tabs>
        <w:spacing w:after="120" w:lineRule="auto"/>
        <w:ind w:left="1440" w:firstLine="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 executed by Customer and Spreedly (in a form substantially similar to the Schedule A) that references this Enterprise Services Agreement</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 All terms and conditions set forth in this Agreement are automatically incorporated in and deemed part of each such Order Form. Unless otherwise stated in the applicable Order Form, its terms and conditions of any are independent of, and have no impact upon the provisions of any other Order Form.</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All payments to be made under this Agreement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made in cleared funds, without any deduction or set-off, and free and clear of, and without deduction for or on account of any taxes, levies, imports, duties, charges, fees and withholdings of any nature now or hereafter imposed by any government, fiscal or other authority, save as required by law. If Customer is compelled to make any such deduction, Spreedly will be entitled to </w:t>
      </w:r>
      <w:r w:rsidDel="00000000" w:rsidR="00000000" w:rsidRPr="00000000">
        <w:rPr>
          <w:rFonts w:ascii="Arial" w:cs="Arial" w:eastAsia="Arial" w:hAnsi="Arial"/>
          <w:sz w:val="18"/>
          <w:szCs w:val="18"/>
          <w:rtl w:val="0"/>
        </w:rPr>
        <w:t xml:space="preserve">“gross-up” the applicable fees in </w:t>
      </w:r>
      <w:r w:rsidDel="00000000" w:rsidR="00000000" w:rsidRPr="00000000">
        <w:rPr>
          <w:rFonts w:ascii="Arial" w:cs="Arial" w:eastAsia="Arial" w:hAnsi="Arial"/>
          <w:color w:val="000000"/>
          <w:sz w:val="18"/>
          <w:szCs w:val="18"/>
          <w:rtl w:val="0"/>
        </w:rPr>
        <w:t xml:space="preserve">such amounts as are necessary to ensure receipt by Spreedly of the full amount which Spreedly would have received but for the deduction.</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under this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leader="none" w:pos="0"/>
          <w:tab w:val="left" w:leader="none" w:pos="360"/>
        </w:tabs>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As of the Amendment Effective Date, all other references in the Agreement to Exhibit A will refer to the pricing under the applicable Order Form.  </w:t>
      </w:r>
    </w:p>
    <w:p w:rsidR="00000000" w:rsidDel="00000000" w:rsidP="00000000" w:rsidRDefault="00000000" w:rsidRPr="00000000" w14:paraId="0000000D">
      <w:pPr>
        <w:numPr>
          <w:ilvl w:val="0"/>
          <w:numId w:val="2"/>
        </w:numPr>
        <w:ind w:left="36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Except as expressly set forth in this Amendment, the Agreement will remain unchanged and in full force and effect.  In the event of a conflict between the terms of this Amendment and the Agreement, this Amendment will govern the relationship between the parties.</w:t>
      </w:r>
    </w:p>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12">
      <w:pPr>
        <w:tabs>
          <w:tab w:val="center" w:leader="none" w:pos="4680"/>
        </w:tabs>
        <w:rPr>
          <w:rFonts w:ascii="Arial" w:cs="Arial" w:eastAsia="Arial" w:hAnsi="Arial"/>
          <w:sz w:val="18"/>
          <w:szCs w:val="1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180" w:line="201" w:lineRule="auto"/>
        <w:ind w:right="7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5">
      <w:pPr>
        <w:spacing w:after="180" w:line="206" w:lineRule="auto"/>
        <w:ind w:left="72" w:firstLine="0"/>
        <w:jc w:val="both"/>
        <w:rPr>
          <w:rFonts w:ascii="Arial" w:cs="Arial" w:eastAsia="Arial" w:hAnsi="Arial"/>
          <w:b w:val="1"/>
          <w:color w:val="000000"/>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1"/>
        <w:tblW w:w="9378.0" w:type="dxa"/>
        <w:jc w:val="left"/>
        <w:tblInd w:w="1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16">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17">
            <w:pPr>
              <w:spacing w:after="180" w:line="181"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8">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9">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Coulter Ventures, LLC d/b/a Rogue Fitness</w:t>
            </w:r>
            <w:r w:rsidDel="00000000" w:rsidR="00000000" w:rsidRPr="00000000">
              <w:rPr>
                <w:rtl w:val="0"/>
              </w:rPr>
            </w:r>
          </w:p>
          <w:p w:rsidR="00000000" w:rsidDel="00000000" w:rsidP="00000000" w:rsidRDefault="00000000" w:rsidRPr="00000000" w14:paraId="0000001A">
            <w:pPr>
              <w:spacing w:after="180" w:line="181"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B">
            <w:pPr>
              <w:spacing w:after="180" w:line="181" w:lineRule="auto"/>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1D">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1F">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21">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2">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24">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26">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7">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29">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2B">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C">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2E">
      <w:pPr>
        <w:spacing w:after="180" w:line="201" w:lineRule="auto"/>
        <w:ind w:right="72"/>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after="180" w:line="201" w:lineRule="auto"/>
        <w:ind w:right="72"/>
        <w:jc w:val="cente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0">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031">
      <w:pPr>
        <w:spacing w:after="180" w:line="201" w:lineRule="auto"/>
        <w:ind w:right="72"/>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03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34">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35">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36">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37">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8">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9">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A">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03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03C">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03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03E">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03F">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0">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041">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042">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049">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Receiver:</w:t>
        <w:tab/>
        <w:t xml:space="preserve">Silicon Valley Bank</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ABA/Routing #: </w:t>
        <w:tab/>
        <w:t xml:space="preserve">121140399</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SWIFT Code:</w:t>
        <w:tab/>
        <w:t xml:space="preserve">SVBKUS6S</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Beneficiary:</w:t>
        <w:tab/>
        <w:t xml:space="preserve">3301451580</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Spreedly, Inc.</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300 Morris Street, Suite 400</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Durham, NC 27701</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05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201" w:lineRule="auto"/>
        <w:ind w:right="72"/>
        <w:jc w:val="center"/>
        <w:rPr>
          <w:rFonts w:ascii="Arial" w:cs="Arial" w:eastAsia="Arial" w:hAnsi="Arial"/>
          <w:b w:val="1"/>
          <w:color w:val="cc0000"/>
          <w:sz w:val="32"/>
          <w:szCs w:val="32"/>
        </w:rPr>
      </w:pPr>
      <w:r w:rsidDel="00000000" w:rsidR="00000000" w:rsidRPr="00000000">
        <w:rPr>
          <w:rFonts w:ascii="Arial" w:cs="Arial" w:eastAsia="Arial" w:hAnsi="Arial"/>
          <w:b w:val="1"/>
          <w:color w:val="cc0000"/>
          <w:sz w:val="32"/>
          <w:szCs w:val="32"/>
          <w:rtl w:val="0"/>
        </w:rPr>
        <w:t xml:space="preserve">SAMPLE ONLY DO NOT SIGN</w:t>
      </w:r>
    </w:p>
    <w:sectPr>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Fonts w:ascii="Arial" w:cs="Arial" w:eastAsia="Arial" w:hAnsi="Arial"/>
        <w:color w:val="000000"/>
        <w:sz w:val="18"/>
        <w:szCs w:val="18"/>
        <w:rtl w:val="0"/>
      </w:rPr>
      <w:t xml:space="preserve">Amendment to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2</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18320</wp:posOffset>
          </wp:positionV>
          <wp:extent cx="1405956" cy="322799"/>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i w:val="0"/>
        <w:strike w:val="0"/>
        <w:color w:val="000000"/>
        <w:sz w:val="18"/>
        <w:szCs w:val="18"/>
        <w:u w:val="none"/>
        <w:vertAlign w:val="baseline"/>
      </w:rPr>
    </w:lvl>
    <w:lvl w:ilvl="1">
      <w:start w:val="1"/>
      <w:numFmt w:val="lowerLetter"/>
      <w:lvlText w:val="%2."/>
      <w:lvlJc w:val="left"/>
      <w:pPr>
        <w:ind w:left="1440" w:hanging="360"/>
      </w:pPr>
      <w:rPr>
        <w:rFonts w:ascii="Arial" w:cs="Arial" w:eastAsia="Arial" w:hAnsi="Arial"/>
        <w:sz w:val="18"/>
        <w:szCs w:val="18"/>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NXoRIH9Rti+q+U4cyNcQLdpzw==">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