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w:t>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highlight w:val="yellow"/>
              </w:rPr>
            </w:pPr>
            <w:r w:rsidDel="00000000" w:rsidR="00000000" w:rsidRPr="00000000">
              <w:rPr>
                <w:rFonts w:ascii="Arial" w:cs="Arial" w:eastAsia="Arial" w:hAnsi="Arial"/>
                <w:b w:val="1"/>
                <w:sz w:val="18"/>
                <w:szCs w:val="18"/>
                <w:rtl w:val="0"/>
              </w:rPr>
              <w:t xml:space="preserve">To: </w:t>
            </w:r>
            <w:r w:rsidDel="00000000" w:rsidR="00000000" w:rsidRPr="00000000">
              <w:rPr>
                <w:rtl w:val="0"/>
              </w:rPr>
            </w:r>
          </w:p>
          <w:p w:rsidR="00000000" w:rsidDel="00000000" w:rsidP="00000000" w:rsidRDefault="00000000" w:rsidRPr="00000000" w14:paraId="0000000E">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color w:val="101423"/>
                <w:sz w:val="18"/>
                <w:szCs w:val="18"/>
                <w:rtl w:val="0"/>
              </w:rPr>
              <w:t xml:space="preserve">Wicked Weasel Bikinis Pty Ltd</w:t>
            </w:r>
            <w:r w:rsidDel="00000000" w:rsidR="00000000" w:rsidRPr="00000000">
              <w:rPr>
                <w:rtl w:val="0"/>
              </w:rPr>
            </w:r>
          </w:p>
          <w:p w:rsidR="00000000" w:rsidDel="00000000" w:rsidP="00000000" w:rsidRDefault="00000000" w:rsidRPr="00000000" w14:paraId="0000000F">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 </w:t>
            </w:r>
          </w:p>
          <w:p w:rsidR="00000000" w:rsidDel="00000000" w:rsidP="00000000" w:rsidRDefault="00000000" w:rsidRPr="00000000" w14:paraId="00000010">
            <w:pPr>
              <w:ind w:right="-14"/>
              <w:jc w:val="left"/>
              <w:rPr>
                <w:rFonts w:ascii="Arial" w:cs="Arial" w:eastAsia="Arial" w:hAnsi="Arial"/>
                <w:sz w:val="18"/>
                <w:szCs w:val="18"/>
                <w:shd w:fill="f1c232" w:val="clear"/>
              </w:rPr>
            </w:pPr>
            <w:r w:rsidDel="00000000" w:rsidR="00000000" w:rsidRPr="00000000">
              <w:rPr>
                <w:rFonts w:ascii="Arial" w:cs="Arial" w:eastAsia="Arial" w:hAnsi="Arial"/>
                <w:b w:val="1"/>
                <w:sz w:val="18"/>
                <w:szCs w:val="18"/>
                <w:rtl w:val="0"/>
              </w:rPr>
              <w:t xml:space="preserve">Billing Address: </w:t>
            </w:r>
            <w:r w:rsidDel="00000000" w:rsidR="00000000" w:rsidRPr="00000000">
              <w:rPr>
                <w:rtl w:val="0"/>
              </w:rPr>
            </w:r>
          </w:p>
          <w:p w:rsidR="00000000" w:rsidDel="00000000" w:rsidP="00000000" w:rsidRDefault="00000000" w:rsidRPr="00000000" w14:paraId="00000011">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Crystal Stewart</w:t>
            </w:r>
          </w:p>
        </w:tc>
        <w:tc>
          <w:tcPr/>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3">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 </w:t>
            </w:r>
            <w:r w:rsidDel="00000000" w:rsidR="00000000" w:rsidRPr="00000000">
              <w:rPr>
                <w:rFonts w:ascii="Arial" w:cs="Arial" w:eastAsia="Arial" w:hAnsi="Arial"/>
                <w:sz w:val="18"/>
                <w:szCs w:val="18"/>
                <w:rtl w:val="0"/>
              </w:rPr>
              <w:t xml:space="preserve">2 FEB 2024</w:t>
            </w:r>
          </w:p>
          <w:p w:rsidR="00000000" w:rsidDel="00000000" w:rsidP="00000000" w:rsidRDefault="00000000" w:rsidRPr="00000000" w14:paraId="00000014">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w:t>
            </w:r>
            <w:r w:rsidDel="00000000" w:rsidR="00000000" w:rsidRPr="00000000">
              <w:rPr>
                <w:rFonts w:ascii="Arial" w:cs="Arial" w:eastAsia="Arial" w:hAnsi="Arial"/>
                <w:sz w:val="18"/>
                <w:szCs w:val="18"/>
                <w:rtl w:val="0"/>
              </w:rPr>
              <w:t xml:space="preserve">29</w:t>
            </w:r>
            <w:r w:rsidDel="00000000" w:rsidR="00000000" w:rsidRPr="00000000">
              <w:rPr>
                <w:rFonts w:ascii="Arial" w:cs="Arial" w:eastAsia="Arial" w:hAnsi="Arial"/>
                <w:sz w:val="18"/>
                <w:szCs w:val="18"/>
                <w:rtl w:val="0"/>
              </w:rPr>
              <w:t xml:space="preserve"> FEB 2024</w:t>
            </w:r>
            <w:r w:rsidDel="00000000" w:rsidR="00000000" w:rsidRPr="00000000">
              <w:rPr>
                <w:rtl w:val="0"/>
              </w:rPr>
            </w:r>
          </w:p>
          <w:p w:rsidR="00000000" w:rsidDel="00000000" w:rsidP="00000000" w:rsidRDefault="00000000" w:rsidRPr="00000000" w14:paraId="00000015">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6">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7">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signed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one (1) month, after which this Order Form will automatically renew for successive 1-month periods (each, a “Renewal Term” and, together with the Initial Term, the “Term”). Customer may terminate this Order Form on 30 days' written notice to Spreedly.</w:t>
      </w:r>
    </w:p>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2) Advanced Vault.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or (ii) the minimum committed fee of $500 per month as set out in Table 1 below. Costs are exclusive of fees imposed by the card associations and/or third-party service providers (e.g. card updates, tokenization, etc.) which will be passed through to Customer and are subject to change at any time. For the avoidance of doubt, Customer will still be charged the third-party fee each time a payment card is updated. Spreedly will make reasonable efforts to notify Customers in advance of changes in third party fees.</w:t>
      </w:r>
    </w:p>
    <w:tbl>
      <w:tblPr>
        <w:tblStyle w:val="Table2"/>
        <w:jc w:val="left"/>
        <w:tblInd w:w="746.0" w:type="dxa"/>
        <w:tblBorders>
          <w:top w:color="d7d2cd" w:space="0" w:sz="8" w:val="single"/>
          <w:left w:color="d7d2cd" w:space="0" w:sz="8" w:val="single"/>
          <w:bottom w:color="d7d2cd" w:space="0" w:sz="8" w:val="single"/>
          <w:right w:color="d7d2cd" w:space="0" w:sz="8" w:val="single"/>
          <w:insideH w:color="d7d2cd" w:space="0" w:sz="8" w:val="single"/>
          <w:insideV w:color="d7d2cd" w:space="0" w:sz="8" w:val="single"/>
        </w:tblBorders>
        <w:tblLayout w:type="fixed"/>
        <w:tblLook w:val="0400"/>
      </w:tblPr>
      <w:tblGrid>
        <w:gridCol w:w="10080"/>
        <w:tblGridChange w:id="0">
          <w:tblGrid>
            <w:gridCol w:w="10080"/>
          </w:tblGrid>
        </w:tblGridChange>
      </w:tblGrid>
    </w:tbl>
    <w:p w:rsidR="00000000" w:rsidDel="00000000" w:rsidP="00000000" w:rsidRDefault="00000000" w:rsidRPr="00000000" w14:paraId="0000001D">
      <w:pPr>
        <w:rPr>
          <w:sz w:val="24"/>
          <w:szCs w:val="24"/>
        </w:rPr>
      </w:pPr>
      <w:r w:rsidDel="00000000" w:rsidR="00000000" w:rsidRPr="00000000">
        <w:rPr>
          <w:rtl w:val="0"/>
        </w:rPr>
      </w:r>
    </w:p>
    <w:tbl>
      <w:tblPr>
        <w:tblStyle w:val="Table3"/>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160"/>
        <w:gridCol w:w="3420"/>
        <w:gridCol w:w="3705"/>
        <w:tblGridChange w:id="0">
          <w:tblGrid>
            <w:gridCol w:w="780"/>
            <w:gridCol w:w="2160"/>
            <w:gridCol w:w="3420"/>
            <w:gridCol w:w="3705"/>
          </w:tblGrid>
        </w:tblGridChange>
      </w:tblGrid>
      <w:tr>
        <w:trPr>
          <w:cantSplit w:val="0"/>
          <w:trHeight w:val="240" w:hRule="atLeast"/>
          <w:tblHeader w:val="0"/>
        </w:trPr>
        <w:tc>
          <w:tcPr>
            <w:gridSpan w:val="4"/>
            <w:tcBorders>
              <w:top w:color="d7d2cd" w:space="0" w:sz="6" w:val="single"/>
              <w:left w:color="d7d2cd" w:space="0" w:sz="6" w:val="single"/>
              <w:bottom w:color="000000" w:space="0" w:sz="0" w:val="nil"/>
              <w:right w:color="d7d2cd" w:space="0" w:sz="6" w:val="single"/>
            </w:tcBorders>
            <w:shd w:fill="0077c8" w:val="clear"/>
            <w:tcMar>
              <w:top w:w="0.0" w:type="dxa"/>
              <w:left w:w="0.0" w:type="dxa"/>
              <w:bottom w:w="0.0" w:type="dxa"/>
              <w:right w:w="0.0" w:type="dxa"/>
            </w:tcMar>
            <w:vAlign w:val="top"/>
          </w:tcPr>
          <w:p w:rsidR="00000000" w:rsidDel="00000000" w:rsidP="00000000" w:rsidRDefault="00000000" w:rsidRPr="00000000" w14:paraId="0000001E">
            <w:pPr>
              <w:ind w:left="140" w:right="140" w:firstLine="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Table 1</w:t>
            </w:r>
          </w:p>
        </w:tc>
      </w:tr>
      <w:tr>
        <w:trPr>
          <w:cantSplit w:val="0"/>
          <w:trHeight w:val="360" w:hRule="atLeast"/>
          <w:tblHeader w:val="0"/>
        </w:trPr>
        <w:tc>
          <w:tcPr>
            <w:tcBorders>
              <w:top w:color="000000" w:space="0" w:sz="0" w:val="nil"/>
              <w:left w:color="d7d2cd" w:space="0" w:sz="6" w:val="single"/>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2">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Tier</w:t>
            </w:r>
          </w:p>
        </w:tc>
        <w:tc>
          <w:tcPr>
            <w:tcBorders>
              <w:top w:color="000000" w:space="0" w:sz="0" w:val="nil"/>
              <w:left w:color="000000" w:space="0" w:sz="0" w:val="nil"/>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3">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of Payment Methods</w:t>
            </w:r>
          </w:p>
        </w:tc>
        <w:tc>
          <w:tcPr>
            <w:tcBorders>
              <w:top w:color="000000" w:space="0" w:sz="0" w:val="nil"/>
              <w:left w:color="000000" w:space="0" w:sz="0" w:val="nil"/>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4">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Method</w:t>
            </w:r>
          </w:p>
        </w:tc>
        <w:tc>
          <w:tcPr>
            <w:tcBorders>
              <w:top w:color="000000" w:space="0" w:sz="0" w:val="nil"/>
              <w:left w:color="000000" w:space="0" w:sz="0" w:val="nil"/>
              <w:bottom w:color="000000" w:space="0" w:sz="0" w:val="nil"/>
              <w:right w:color="d7d2cd" w:space="0" w:sz="6" w:val="single"/>
            </w:tcBorders>
            <w:shd w:fill="a7e9e1" w:val="clear"/>
            <w:tcMar>
              <w:top w:w="0.0" w:type="dxa"/>
              <w:left w:w="100.0" w:type="dxa"/>
              <w:bottom w:w="0.0" w:type="dxa"/>
              <w:right w:w="100.0" w:type="dxa"/>
            </w:tcMar>
            <w:vAlign w:val="top"/>
          </w:tcPr>
          <w:p w:rsidR="00000000" w:rsidDel="00000000" w:rsidP="00000000" w:rsidRDefault="00000000" w:rsidRPr="00000000" w14:paraId="00000025">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Minimum Monthly Fee</w:t>
            </w:r>
          </w:p>
        </w:tc>
      </w:tr>
      <w:tr>
        <w:trPr>
          <w:cantSplit w:val="0"/>
          <w:trHeight w:val="330" w:hRule="atLeast"/>
          <w:tblHeader w:val="0"/>
        </w:trPr>
        <w:tc>
          <w:tcPr>
            <w:tcBorders>
              <w:top w:color="000000" w:space="0" w:sz="0" w:val="nil"/>
              <w:left w:color="d7d2cd"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149,999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$0.025</w:t>
            </w:r>
          </w:p>
        </w:tc>
        <w:tc>
          <w:tcPr>
            <w:vMerge w:val="restart"/>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60" w:before="60" w:lineRule="auto"/>
              <w:ind w:left="140" w:right="14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$500.00</w:t>
            </w:r>
          </w:p>
        </w:tc>
      </w:tr>
      <w:tr>
        <w:trPr>
          <w:cantSplit w:val="0"/>
          <w:trHeight w:val="270" w:hRule="atLeast"/>
          <w:tblHeader w:val="0"/>
        </w:trPr>
        <w:tc>
          <w:tcPr>
            <w:tcBorders>
              <w:top w:color="000000" w:space="0" w:sz="0" w:val="nil"/>
              <w:left w:color="d7d2cd"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 – 1,499,99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$0.0225</w:t>
            </w:r>
          </w:p>
        </w:tc>
        <w:tc>
          <w:tcPr>
            <w:vMerge w:val="continue"/>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85" w:hRule="atLeast"/>
          <w:tblHeader w:val="0"/>
        </w:trPr>
        <w:tc>
          <w:tcPr>
            <w:tcBorders>
              <w:top w:color="000000" w:space="0" w:sz="0" w:val="nil"/>
              <w:left w:color="d7d2cd" w:space="0" w:sz="6" w:val="single"/>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1,500,000 +</w:t>
            </w:r>
          </w:p>
        </w:tc>
        <w:tc>
          <w:tcPr>
            <w:tcBorders>
              <w:top w:color="000000" w:space="0" w:sz="0" w:val="nil"/>
              <w:left w:color="000000" w:space="0" w:sz="0" w:val="nil"/>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$0.020</w:t>
            </w:r>
          </w:p>
        </w:tc>
        <w:tc>
          <w:tcPr>
            <w:vMerge w:val="continue"/>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35">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spacing w:after="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3) Payment</w:t>
      </w:r>
      <w:r w:rsidDel="00000000" w:rsidR="00000000" w:rsidRPr="00000000">
        <w:rPr>
          <w:rFonts w:ascii="Arial" w:cs="Arial" w:eastAsia="Arial" w:hAnsi="Arial"/>
          <w:sz w:val="18"/>
          <w:szCs w:val="18"/>
          <w:rtl w:val="0"/>
        </w:rPr>
        <w:t xml:space="preserve">. Customer will be invoiced monthly at the rate for the number of payment methods enrolled in the prior month as described in Section 2 or the minimum committed fee of $500.</w:t>
      </w:r>
    </w:p>
    <w:p w:rsidR="00000000" w:rsidDel="00000000" w:rsidP="00000000" w:rsidRDefault="00000000" w:rsidRPr="00000000" w14:paraId="00000037">
      <w:pPr>
        <w:tabs>
          <w:tab w:val="left" w:leader="none" w:pos="1080"/>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will pay all amounts due by credit card on file with Spreedly. Customer authorizes Spreedly to periodically charge the credit card on file for Spreedly service fees as stated in this Order Form. Customer will be subject to any additional terms presented by the third-party credit card payment processor and Customer is responsible for keeping such credit card information up to date.</w:t>
      </w:r>
    </w:p>
    <w:p w:rsidR="00000000" w:rsidDel="00000000" w:rsidP="00000000" w:rsidRDefault="00000000" w:rsidRPr="00000000" w14:paraId="00000038">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spacing w:after="240" w:lineRule="auto"/>
        <w:rPr>
          <w:rFonts w:ascii="Arial" w:cs="Arial" w:eastAsia="Arial" w:hAnsi="Arial"/>
          <w:b w:val="1"/>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3A">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spacing w:after="180" w:line="206" w:lineRule="auto"/>
        <w:ind w:left="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4"/>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3C">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D">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3E">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3F">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0">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1">
            <w:pPr>
              <w:ind w:right="-14"/>
              <w:jc w:val="left"/>
              <w:rPr>
                <w:rFonts w:ascii="Arial" w:cs="Arial" w:eastAsia="Arial" w:hAnsi="Arial"/>
                <w:b w:val="1"/>
                <w:sz w:val="18"/>
                <w:szCs w:val="18"/>
              </w:rPr>
            </w:pPr>
            <w:r w:rsidDel="00000000" w:rsidR="00000000" w:rsidRPr="00000000">
              <w:rPr>
                <w:rFonts w:ascii="Arial" w:cs="Arial" w:eastAsia="Arial" w:hAnsi="Arial"/>
                <w:b w:val="1"/>
                <w:color w:val="101423"/>
                <w:sz w:val="18"/>
                <w:szCs w:val="18"/>
                <w:rtl w:val="0"/>
              </w:rPr>
              <w:t xml:space="preserve">Wicked Weasel Bikinis Pty Ltd</w:t>
            </w:r>
            <w:r w:rsidDel="00000000" w:rsidR="00000000" w:rsidRPr="00000000">
              <w:rPr>
                <w:rtl w:val="0"/>
              </w:rPr>
            </w:r>
          </w:p>
          <w:p w:rsidR="00000000" w:rsidDel="00000000" w:rsidP="00000000" w:rsidRDefault="00000000" w:rsidRPr="00000000" w14:paraId="00000042">
            <w:pPr>
              <w:tabs>
                <w:tab w:val="left" w:leader="none" w:pos="547"/>
                <w:tab w:val="left" w:leader="none" w:pos="1620"/>
              </w:tabs>
              <w:spacing w:line="264" w:lineRule="auto"/>
              <w:rPr>
                <w:rFonts w:ascii="Roboto" w:cs="Roboto" w:eastAsia="Roboto" w:hAnsi="Roboto"/>
                <w:b w:val="1"/>
                <w:color w:val="181818"/>
                <w:sz w:val="18"/>
                <w:szCs w:val="18"/>
                <w:highlight w:val="white"/>
              </w:rPr>
            </w:pPr>
            <w:r w:rsidDel="00000000" w:rsidR="00000000" w:rsidRPr="00000000">
              <w:rPr>
                <w:rtl w:val="0"/>
              </w:rPr>
            </w:r>
          </w:p>
          <w:p w:rsidR="00000000" w:rsidDel="00000000" w:rsidP="00000000" w:rsidRDefault="00000000" w:rsidRPr="00000000" w14:paraId="00000043">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5">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47">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A">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4B">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C">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4D">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E">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50">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52">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5A">
      <w:pPr>
        <w:spacing w:after="180" w:line="201" w:lineRule="auto"/>
        <w:ind w:right="72"/>
        <w:rPr>
          <w:rFonts w:ascii="Arial" w:cs="Arial" w:eastAsia="Arial" w:hAnsi="Arial"/>
          <w:sz w:val="18"/>
          <w:szCs w:val="18"/>
        </w:rPr>
      </w:pPr>
      <w:r w:rsidDel="00000000" w:rsidR="00000000" w:rsidRPr="00000000">
        <w:rPr>
          <w:rtl w:val="0"/>
        </w:rPr>
      </w:r>
    </w:p>
    <w:sectPr>
      <w:headerReference r:id="rId7" w:type="default"/>
      <w:footerReference r:id="rId8"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83640" cy="720725"/>
              <wp:effectExtent b="0" l="0" r="0" t="0"/>
              <wp:wrapNone/>
              <wp:docPr id="5"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83640" cy="720725"/>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183640" cy="7207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19</wp:posOffset>
          </wp:positionH>
          <wp:positionV relativeFrom="paragraph">
            <wp:posOffset>-28556</wp:posOffset>
          </wp:positionV>
          <wp:extent cx="1405956" cy="322799"/>
          <wp:effectExtent b="0" l="0" r="0" t="0"/>
          <wp:wrapNone/>
          <wp:docPr id="6" name="image1.jpg"/>
          <a:graphic>
            <a:graphicData uri="http://schemas.openxmlformats.org/drawingml/2006/picture">
              <pic:pic>
                <pic:nvPicPr>
                  <pic:cNvPr id="0" name="image1.jpg"/>
                  <pic:cNvPicPr preferRelativeResize="0"/>
                </pic:nvPicPr>
                <pic:blipFill>
                  <a:blip r:embed="rId1"/>
                  <a:srcRect b="0" l="20" r="19"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BfnKdV9gmmgkS4F56dsIN1T+9Q==">CgMxLjAyCWguMWtzdjR1djgAciExMF9YYk5jV2NPZFI4M19wLUhncFdLa3BDV1hRbHhCT2s=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