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BDA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Anonymous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Metropolis algorithm: Replicate the computations for the bioassay example of section 3.7 in BDA3</w:t>
      </w:r>
      <w:r>
        <w:t xml:space="preserve"> </w:t>
      </w:r>
      <w:r>
        <w:t xml:space="preserve">using the Metropolis algorithm. The Metropolis algorithm is described in BDA3 Chapter 11.2.</w:t>
      </w:r>
      <w:r>
        <w:t xml:space="preserve"> </w:t>
      </w:r>
      <w:r>
        <w:t xml:space="preserve">More information on the bioassay data can be found in Section 3.7 in BDA3, and in Chapter 3</w:t>
      </w:r>
      <w:r>
        <w:t xml:space="preserve"> </w:t>
      </w:r>
      <w:r>
        <w:t xml:space="preserve">notes.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Implement the Metropolis algorithm as an R function for the bioassay data. Use the Gaussian</w:t>
      </w:r>
      <w:r>
        <w:t xml:space="preserve"> </w:t>
      </w:r>
      <w:r>
        <w:t xml:space="preserve">prior as in Assignment 4, that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</m:e>
              </m:mr>
              <m:mr>
                <m:e>
                  <m:r>
                    <m:t>β</m:t>
                  </m:r>
                </m:e>
              </m:mr>
            </m:m>
          </m:e>
        </m:d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Σ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,</m:t>
        </m:r>
        <m:r>
          <m:t> </m:t>
        </m:r>
        <m:r>
          <m:rPr>
            <m:nor/>
            <m:sty m:val="p"/>
          </m:rPr>
          <m:t>where </m:t>
        </m:r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  <m:r>
          <m:t> </m:t>
        </m:r>
        <m:r>
          <m:t>a</m:t>
        </m:r>
        <m:r>
          <m:t>n</m:t>
        </m:r>
        <m:r>
          <m:t>d</m:t>
        </m:r>
        <m:r>
          <m:t> </m:t>
        </m:r>
        <m:sSub>
          <m:e>
            <m:r>
              <m:t>Σ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12</m:t>
                  </m:r>
                </m:e>
              </m:mr>
              <m:mr>
                <m:e>
                  <m:r>
                    <m:t>12</m:t>
                  </m:r>
                </m:e>
                <m:e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02"/>
        </w:numPr>
        <w:pStyle w:val="Compact"/>
      </w:pPr>
      <w:r>
        <w:t xml:space="preserve">Start by implementing a function called density_ratio to compute the density</w:t>
      </w:r>
      <w:r>
        <w:t xml:space="preserve"> </w:t>
      </w:r>
      <w:r>
        <w:t xml:space="preserve">ratio function, r in Eq. (11.1) in BDA3. Below is an example on how the function</w:t>
      </w:r>
      <w:r>
        <w:t xml:space="preserve"> </w:t>
      </w:r>
      <w:r>
        <w:t xml:space="preserve">should work. You can test the function using markmyassignment.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"bioassay"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density_ratio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(alpha_propose, alpha_previous, beta_propose, beta_previous, x, y, 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density_ratio</w:t>
      </w:r>
      <w:r>
        <w:rPr>
          <w:rStyle w:val="NormalTok"/>
        </w:rPr>
        <w:t xml:space="preserve">(alpha_propose, alpha_previous, beta_propose, beta_previous,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bioassay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bioassay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bioassay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DocumentationTok"/>
        </w:rPr>
        <w:t xml:space="preserve">## [1] 1.305179</w:t>
      </w:r>
      <w:r>
        <w:br/>
      </w:r>
      <w:r>
        <w:br/>
      </w:r>
      <w:r>
        <w:rPr>
          <w:rStyle w:val="NormalTok"/>
        </w:rPr>
        <w:t xml:space="preserve">density_ratio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(alpha_propose, alpha_previous, beta_propose, beta_previous, x, y, 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density_ratio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alpha_propose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0.374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alpha_previous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beta_propose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beta_previous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bioassay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bioassay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bioassay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ocumentationTok"/>
        </w:rPr>
        <w:t xml:space="preserve">## [1] 0.7661784</w:t>
      </w:r>
      <w:r>
        <w:br/>
      </w:r>
      <w:r>
        <w:br/>
      </w:r>
      <w:r>
        <w:rPr>
          <w:rStyle w:val="CommentTok"/>
        </w:rPr>
        <w:t xml:space="preserve"># mark_my_assignment()</w:t>
      </w:r>
    </w:p>
    <w:p>
      <w:pPr>
        <w:pStyle w:val="FirstParagraph"/>
      </w:pPr>
      <w:r>
        <w:t xml:space="preserve">Hint! Compute with log-densities. Reasons are explained on page 261 of BDA3</w:t>
      </w:r>
      <w:r>
        <w:t xml:space="preserve"> </w:t>
      </w:r>
      <w:r>
        <w:t xml:space="preserve">and lecture video 4.1. Remember that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e>
        </m:d>
      </m:oMath>
      <w:r>
        <w:t xml:space="preserve">. For your</w:t>
      </w:r>
      <w:r>
        <w:t xml:space="preserve"> </w:t>
      </w:r>
      <w:r>
        <w:t xml:space="preserve">convenience we have provided functions that will evaluate the log-likelihood for given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- Assignment 4</dc:title>
  <dc:creator>Anonymous</dc:creator>
  <cp:keywords/>
  <dcterms:created xsi:type="dcterms:W3CDTF">2022-10-07T12:06:19Z</dcterms:created>
  <dcterms:modified xsi:type="dcterms:W3CDTF">2022-10-07T12:06:19Z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