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FCC5D1" w14:textId="1EC44F56" w:rsidR="00532BBE" w:rsidRDefault="00626FCF" w:rsidP="00FC1C1F">
      <w:pPr>
        <w:spacing w:before="100" w:beforeAutospacing="1" w:after="100" w:afterAutospacing="1" w:line="240" w:lineRule="auto"/>
        <w:rPr>
          <w:rFonts w:ascii="Verdana" w:hAnsi="Verdana"/>
          <w:sz w:val="32"/>
          <w:szCs w:val="32"/>
        </w:rPr>
      </w:pPr>
      <w:r w:rsidRPr="00532BBE">
        <w:rPr>
          <w:rFonts w:ascii="Verdana" w:hAnsi="Verdana"/>
          <w:sz w:val="32"/>
          <w:szCs w:val="32"/>
        </w:rPr>
        <w:t>Outline of Data Loading and Management</w:t>
      </w:r>
    </w:p>
    <w:p w14:paraId="74D9E564" w14:textId="333CDA0A" w:rsidR="00FC1C1F" w:rsidRPr="00FC1C1F" w:rsidRDefault="00FC1C1F" w:rsidP="00FC1C1F">
      <w:p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Prepared 2026-08-04</w:t>
      </w:r>
    </w:p>
    <w:p w14:paraId="23719C99" w14:textId="6C97AC4A" w:rsidR="00626FCF" w:rsidRPr="00FC1C1F" w:rsidRDefault="00626FCF" w:rsidP="00FC1C1F">
      <w:pPr>
        <w:keepNext/>
        <w:spacing w:before="100" w:beforeAutospacing="1" w:after="100" w:afterAutospacing="1" w:line="240" w:lineRule="auto"/>
        <w:rPr>
          <w:rFonts w:ascii="Verdana" w:hAnsi="Verdana"/>
          <w:b/>
          <w:bCs/>
          <w:sz w:val="20"/>
          <w:szCs w:val="20"/>
        </w:rPr>
      </w:pPr>
      <w:r w:rsidRPr="00FC1C1F">
        <w:rPr>
          <w:rFonts w:ascii="Verdana" w:hAnsi="Verdana"/>
          <w:b/>
          <w:bCs/>
          <w:sz w:val="20"/>
          <w:szCs w:val="20"/>
        </w:rPr>
        <w:t>Knowledge representation</w:t>
      </w:r>
    </w:p>
    <w:p w14:paraId="59404A61" w14:textId="11B9842D" w:rsidR="00626FCF" w:rsidRPr="00FC1C1F" w:rsidRDefault="00626FCF" w:rsidP="00FC1C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The NLM-CKN represents knowledge as a directed, typed, </w:t>
      </w:r>
      <w:proofErr w:type="gramStart"/>
      <w:r w:rsidRPr="00FC1C1F">
        <w:rPr>
          <w:rFonts w:ascii="Verdana" w:hAnsi="Verdana"/>
          <w:sz w:val="20"/>
          <w:szCs w:val="20"/>
        </w:rPr>
        <w:t>evidence based</w:t>
      </w:r>
      <w:proofErr w:type="gramEnd"/>
      <w:r w:rsidRPr="00FC1C1F">
        <w:rPr>
          <w:rFonts w:ascii="Verdana" w:hAnsi="Verdana"/>
          <w:sz w:val="20"/>
          <w:szCs w:val="20"/>
        </w:rPr>
        <w:t xml:space="preserve"> multigraph stored in an </w:t>
      </w:r>
      <w:proofErr w:type="spellStart"/>
      <w:r w:rsidRPr="00FC1C1F">
        <w:rPr>
          <w:rFonts w:ascii="Verdana" w:hAnsi="Verdana"/>
          <w:sz w:val="20"/>
          <w:szCs w:val="20"/>
        </w:rPr>
        <w:t>ArangoDB</w:t>
      </w:r>
      <w:proofErr w:type="spellEnd"/>
      <w:r w:rsidRPr="00FC1C1F">
        <w:rPr>
          <w:rFonts w:ascii="Verdana" w:hAnsi="Verdana"/>
          <w:sz w:val="20"/>
          <w:szCs w:val="20"/>
        </w:rPr>
        <w:t xml:space="preserve"> database</w:t>
      </w:r>
    </w:p>
    <w:p w14:paraId="12724CDF" w14:textId="77777777" w:rsidR="00626FCF" w:rsidRPr="00FC1C1F" w:rsidRDefault="00626FCF" w:rsidP="00FC1C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Ontologies provide the foundational graph into which all experimental evidence is subsequently placed</w:t>
      </w:r>
    </w:p>
    <w:p w14:paraId="69139234" w14:textId="77777777" w:rsidR="00626FCF" w:rsidRPr="00FC1C1F" w:rsidRDefault="00626FCF" w:rsidP="00FC1C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Experimental evidence assertions are produced as subject–predicate–object tuples following a schema</w:t>
      </w:r>
    </w:p>
    <w:p w14:paraId="67413E66" w14:textId="7AF007DE" w:rsidR="00626FCF" w:rsidRPr="00FC1C1F" w:rsidRDefault="00626FCF" w:rsidP="00FC1C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A schema defines the entities used as subject and object</w:t>
      </w:r>
    </w:p>
    <w:p w14:paraId="24EE1744" w14:textId="77777777" w:rsidR="00626FCF" w:rsidRPr="00FC1C1F" w:rsidRDefault="00626FCF" w:rsidP="00FC1C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The cell set (CS) entity, an empirically derived cluster of cells from one experimental dataset, anchors the graph in the sense that all nodes have a path to a cell set </w:t>
      </w:r>
      <w:proofErr w:type="spellStart"/>
      <w:r w:rsidRPr="00FC1C1F">
        <w:rPr>
          <w:rFonts w:ascii="Verdana" w:hAnsi="Verdana"/>
          <w:sz w:val="20"/>
          <w:szCs w:val="20"/>
        </w:rPr>
        <w:t>entitiy</w:t>
      </w:r>
      <w:proofErr w:type="spellEnd"/>
    </w:p>
    <w:p w14:paraId="47E270FA" w14:textId="77777777" w:rsidR="00626FCF" w:rsidRPr="00FC1C1F" w:rsidRDefault="00626FCF" w:rsidP="00FC1C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Predicates come from the schema's association classes</w:t>
      </w:r>
    </w:p>
    <w:p w14:paraId="21CFC4AE" w14:textId="741274A7" w:rsidR="00626FCF" w:rsidRPr="00FC1C1F" w:rsidRDefault="00626FCF" w:rsidP="00FC1C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As a property graph, the </w:t>
      </w:r>
      <w:proofErr w:type="spellStart"/>
      <w:r w:rsidRPr="00FC1C1F">
        <w:rPr>
          <w:rFonts w:ascii="Verdana" w:hAnsi="Verdana"/>
          <w:sz w:val="20"/>
          <w:szCs w:val="20"/>
        </w:rPr>
        <w:t>ArangoDB</w:t>
      </w:r>
      <w:proofErr w:type="spellEnd"/>
      <w:r w:rsidRPr="00FC1C1F">
        <w:rPr>
          <w:rFonts w:ascii="Verdana" w:hAnsi="Verdana"/>
          <w:sz w:val="20"/>
          <w:szCs w:val="20"/>
        </w:rPr>
        <w:t xml:space="preserve"> database enables associations to carry their evidence</w:t>
      </w:r>
    </w:p>
    <w:p w14:paraId="29BCAAF1" w14:textId="6D227067" w:rsidR="00532BBE" w:rsidRPr="00FC1C1F" w:rsidRDefault="00626FCF" w:rsidP="00FC1C1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Entities and predicates resolve to persistent identifiers</w:t>
      </w:r>
    </w:p>
    <w:p w14:paraId="168C690B" w14:textId="3B899F9A" w:rsidR="00626FCF" w:rsidRPr="00FC1C1F" w:rsidRDefault="00626FCF" w:rsidP="00FC1C1F">
      <w:pPr>
        <w:keepNext/>
        <w:spacing w:before="100" w:beforeAutospacing="1" w:after="100" w:afterAutospacing="1" w:line="240" w:lineRule="auto"/>
        <w:rPr>
          <w:rFonts w:ascii="Verdana" w:hAnsi="Verdana"/>
          <w:b/>
          <w:bCs/>
          <w:sz w:val="20"/>
          <w:szCs w:val="20"/>
        </w:rPr>
      </w:pPr>
      <w:r w:rsidRPr="00FC1C1F">
        <w:rPr>
          <w:rFonts w:ascii="Verdana" w:hAnsi="Verdana"/>
          <w:b/>
          <w:bCs/>
          <w:sz w:val="20"/>
          <w:szCs w:val="20"/>
        </w:rPr>
        <w:t>Process overview</w:t>
      </w:r>
    </w:p>
    <w:p w14:paraId="445A7020" w14:textId="77777777" w:rsidR="00626FCF" w:rsidRPr="00FC1C1F" w:rsidRDefault="00626FCF" w:rsidP="00FC1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Code for the creation of the database is in repository </w:t>
      </w:r>
      <w:proofErr w:type="spellStart"/>
      <w:r w:rsidRPr="00FC1C1F">
        <w:rPr>
          <w:rFonts w:ascii="Verdana" w:hAnsi="Verdana"/>
          <w:sz w:val="20"/>
          <w:szCs w:val="20"/>
        </w:rPr>
        <w:t>nlm-ckn-etl</w:t>
      </w:r>
      <w:proofErr w:type="spellEnd"/>
    </w:p>
    <w:p w14:paraId="0BD918FC" w14:textId="77777777" w:rsidR="00626FCF" w:rsidRPr="00FC1C1F" w:rsidRDefault="00626FCF" w:rsidP="00FC1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Creation of the </w:t>
      </w:r>
      <w:proofErr w:type="spellStart"/>
      <w:r w:rsidRPr="00FC1C1F">
        <w:rPr>
          <w:rFonts w:ascii="Verdana" w:hAnsi="Verdana"/>
          <w:sz w:val="20"/>
          <w:szCs w:val="20"/>
        </w:rPr>
        <w:t>ArangoDB</w:t>
      </w:r>
      <w:proofErr w:type="spellEnd"/>
      <w:r w:rsidRPr="00FC1C1F">
        <w:rPr>
          <w:rFonts w:ascii="Verdana" w:hAnsi="Verdana"/>
          <w:sz w:val="20"/>
          <w:szCs w:val="20"/>
        </w:rPr>
        <w:t xml:space="preserve"> database is release-driven: every build is keyed to an immutable upstream release tag on the NIH-NLM/</w:t>
      </w:r>
      <w:proofErr w:type="spellStart"/>
      <w:r w:rsidRPr="00FC1C1F">
        <w:rPr>
          <w:rFonts w:ascii="Verdana" w:hAnsi="Verdana"/>
          <w:sz w:val="20"/>
          <w:szCs w:val="20"/>
        </w:rPr>
        <w:t>nlm-ckn</w:t>
      </w:r>
      <w:proofErr w:type="spellEnd"/>
      <w:r w:rsidRPr="00FC1C1F">
        <w:rPr>
          <w:rFonts w:ascii="Verdana" w:hAnsi="Verdana"/>
          <w:sz w:val="20"/>
          <w:szCs w:val="20"/>
        </w:rPr>
        <w:t xml:space="preserve"> repository</w:t>
      </w:r>
    </w:p>
    <w:p w14:paraId="793E080F" w14:textId="4CD759D3" w:rsidR="00626FCF" w:rsidRPr="00FC1C1F" w:rsidRDefault="00626FCF" w:rsidP="00FC1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The file </w:t>
      </w:r>
      <w:proofErr w:type="spellStart"/>
      <w:proofErr w:type="gramStart"/>
      <w:r w:rsidRPr="00FC1C1F">
        <w:rPr>
          <w:rFonts w:ascii="Verdana" w:hAnsi="Verdana"/>
          <w:sz w:val="20"/>
          <w:szCs w:val="20"/>
        </w:rPr>
        <w:t>release</w:t>
      </w:r>
      <w:r w:rsidR="0026049B">
        <w:rPr>
          <w:rFonts w:ascii="Verdana" w:hAnsi="Verdana"/>
          <w:sz w:val="20"/>
          <w:szCs w:val="20"/>
        </w:rPr>
        <w:t>.</w:t>
      </w:r>
      <w:r w:rsidRPr="00FC1C1F">
        <w:rPr>
          <w:rFonts w:ascii="Verdana" w:hAnsi="Verdana"/>
          <w:sz w:val="20"/>
          <w:szCs w:val="20"/>
        </w:rPr>
        <w:t>json</w:t>
      </w:r>
      <w:proofErr w:type="spellEnd"/>
      <w:proofErr w:type="gramEnd"/>
      <w:r w:rsidRPr="00FC1C1F">
        <w:rPr>
          <w:rFonts w:ascii="Verdana" w:hAnsi="Verdana"/>
          <w:sz w:val="20"/>
          <w:szCs w:val="20"/>
        </w:rPr>
        <w:t xml:space="preserve"> pins tag, source repository, </w:t>
      </w:r>
      <w:proofErr w:type="spellStart"/>
      <w:r w:rsidRPr="00FC1C1F">
        <w:rPr>
          <w:rFonts w:ascii="Verdana" w:hAnsi="Verdana"/>
          <w:sz w:val="20"/>
          <w:szCs w:val="20"/>
        </w:rPr>
        <w:t>tarball</w:t>
      </w:r>
      <w:proofErr w:type="spellEnd"/>
      <w:r w:rsidRPr="00FC1C1F">
        <w:rPr>
          <w:rFonts w:ascii="Verdana" w:hAnsi="Verdana"/>
          <w:sz w:val="20"/>
          <w:szCs w:val="20"/>
        </w:rPr>
        <w:t xml:space="preserve"> location, and the maximum acceptable external-cache age</w:t>
      </w:r>
    </w:p>
    <w:p w14:paraId="292D1D43" w14:textId="77777777" w:rsidR="00626FCF" w:rsidRPr="00FC1C1F" w:rsidRDefault="00626FCF" w:rsidP="00FC1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The database is created in three phases, the second two of which restore its predecessor's database snapshot and writes its own, so any phase can be re-run independently</w:t>
      </w:r>
    </w:p>
    <w:p w14:paraId="1DB83365" w14:textId="77777777" w:rsidR="00626FCF" w:rsidRPr="00FC1C1F" w:rsidRDefault="00626FCF" w:rsidP="00FC1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Java classes are used to load selected data from ontologies, and tuples created from experimental evidence</w:t>
      </w:r>
    </w:p>
    <w:p w14:paraId="780F9736" w14:textId="77777777" w:rsidR="00626FCF" w:rsidRPr="00FC1C1F" w:rsidRDefault="00626FCF" w:rsidP="00FC1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The SHA-256 of the compiled JAR keys the database snapshots so a snapshot is only reused with the code that built it</w:t>
      </w:r>
    </w:p>
    <w:p w14:paraId="7FF8B67D" w14:textId="77777777" w:rsidR="00626FCF" w:rsidRPr="00FC1C1F" w:rsidRDefault="00626FCF" w:rsidP="00FC1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Python classes fetch data from external sources and write tuples for loading into the database</w:t>
      </w:r>
    </w:p>
    <w:p w14:paraId="0C2C6391" w14:textId="77777777" w:rsidR="00626FCF" w:rsidRPr="00FC1C1F" w:rsidRDefault="00626FCF" w:rsidP="00FC1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External data is fetched for each gene identified by NS-Forest, and updated at a frequency consistent with each data source</w:t>
      </w:r>
    </w:p>
    <w:p w14:paraId="44AB3166" w14:textId="77777777" w:rsidR="00626FCF" w:rsidRPr="00FC1C1F" w:rsidRDefault="00626FCF" w:rsidP="00FC1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The SHA-256 of the Python classes used to fetch data is recorded in a file, and used to determine if the external data needs to be fetched again due to a fetch code change</w:t>
      </w:r>
    </w:p>
    <w:p w14:paraId="7EE18C29" w14:textId="77777777" w:rsidR="00626FCF" w:rsidRPr="00FC1C1F" w:rsidRDefault="00626FCF" w:rsidP="00FC1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Every artifact carries a build timestamp, git commit, run name, JAR key, Python fetch code key, fetch timestamp, and language/tool versions</w:t>
      </w:r>
    </w:p>
    <w:p w14:paraId="23027C38" w14:textId="4E5F7B3F" w:rsidR="00532BBE" w:rsidRPr="00FC1C1F" w:rsidRDefault="00626FCF" w:rsidP="00FC1C1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All process</w:t>
      </w:r>
      <w:r w:rsidR="0026049B">
        <w:rPr>
          <w:rFonts w:ascii="Verdana" w:hAnsi="Verdana"/>
          <w:sz w:val="20"/>
          <w:szCs w:val="20"/>
        </w:rPr>
        <w:t>es</w:t>
      </w:r>
      <w:r w:rsidRPr="00FC1C1F">
        <w:rPr>
          <w:rFonts w:ascii="Verdana" w:hAnsi="Verdana"/>
          <w:sz w:val="20"/>
          <w:szCs w:val="20"/>
        </w:rPr>
        <w:t xml:space="preserve"> are orchestrated using Prefect flows (Python)</w:t>
      </w:r>
    </w:p>
    <w:p w14:paraId="516DC43A" w14:textId="45F6AAC7" w:rsidR="00626FCF" w:rsidRPr="00FC1C1F" w:rsidRDefault="00626FCF" w:rsidP="00FC1C1F">
      <w:pPr>
        <w:keepNext/>
        <w:spacing w:before="100" w:beforeAutospacing="1" w:after="100" w:afterAutospacing="1" w:line="240" w:lineRule="auto"/>
        <w:rPr>
          <w:rFonts w:ascii="Verdana" w:hAnsi="Verdana"/>
          <w:b/>
          <w:bCs/>
          <w:sz w:val="20"/>
          <w:szCs w:val="20"/>
        </w:rPr>
      </w:pPr>
      <w:r w:rsidRPr="00FC1C1F">
        <w:rPr>
          <w:rFonts w:ascii="Verdana" w:hAnsi="Verdana"/>
          <w:b/>
          <w:bCs/>
          <w:sz w:val="20"/>
          <w:szCs w:val="20"/>
        </w:rPr>
        <w:t>Data fetching</w:t>
      </w:r>
    </w:p>
    <w:p w14:paraId="57E38A85" w14:textId="77777777" w:rsidR="00626FCF" w:rsidRPr="00FC1C1F" w:rsidRDefault="00626FCF" w:rsidP="00FC1C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The NS-Forest marker and binary genes determine which identifiers are queried against each external API</w:t>
      </w:r>
    </w:p>
    <w:p w14:paraId="486E4F9E" w14:textId="77777777" w:rsidR="00626FCF" w:rsidRPr="00FC1C1F" w:rsidRDefault="00626FCF" w:rsidP="00FC1C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A cache is reused only if it exists, is younger than a configurable age (default 672 h = 4 weeks), and was produced by the same fetch code (content hash of the fetch modules); </w:t>
      </w:r>
      <w:proofErr w:type="gramStart"/>
      <w:r w:rsidRPr="00FC1C1F">
        <w:rPr>
          <w:rFonts w:ascii="Verdana" w:hAnsi="Verdana"/>
          <w:sz w:val="20"/>
          <w:szCs w:val="20"/>
        </w:rPr>
        <w:t>otherwise</w:t>
      </w:r>
      <w:proofErr w:type="gramEnd"/>
      <w:r w:rsidRPr="00FC1C1F">
        <w:rPr>
          <w:rFonts w:ascii="Verdana" w:hAnsi="Verdana"/>
          <w:sz w:val="20"/>
          <w:szCs w:val="20"/>
        </w:rPr>
        <w:t xml:space="preserve"> a complete re-fetch is forced</w:t>
      </w:r>
    </w:p>
    <w:p w14:paraId="22685270" w14:textId="77777777" w:rsidR="00626FCF" w:rsidRPr="00FC1C1F" w:rsidRDefault="00626FCF" w:rsidP="00FC1C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lastRenderedPageBreak/>
        <w:t>Failed API calls are recorded as empty entries; a retry pass strips only those entries so transient failures are recovered without discarding successful results</w:t>
      </w:r>
    </w:p>
    <w:p w14:paraId="6F1FE303" w14:textId="2E0C8880" w:rsidR="00532BBE" w:rsidRPr="00FC1C1F" w:rsidRDefault="00626FCF" w:rsidP="00FC1C1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Raw responses are transformed into per-source records consumed by the tuple writers; transformation is idempotent, so skipped when output is newer than input</w:t>
      </w:r>
    </w:p>
    <w:p w14:paraId="492D63B7" w14:textId="316447B6" w:rsidR="00626FCF" w:rsidRPr="00FC1C1F" w:rsidRDefault="00626FCF" w:rsidP="00FC1C1F">
      <w:pPr>
        <w:keepNext/>
        <w:spacing w:before="100" w:beforeAutospacing="1" w:after="100" w:afterAutospacing="1" w:line="240" w:lineRule="auto"/>
        <w:rPr>
          <w:rFonts w:ascii="Verdana" w:hAnsi="Verdana"/>
          <w:b/>
          <w:bCs/>
          <w:sz w:val="20"/>
          <w:szCs w:val="20"/>
        </w:rPr>
      </w:pPr>
      <w:r w:rsidRPr="00FC1C1F">
        <w:rPr>
          <w:rFonts w:ascii="Verdana" w:hAnsi="Verdana"/>
          <w:b/>
          <w:bCs/>
          <w:sz w:val="20"/>
          <w:szCs w:val="20"/>
        </w:rPr>
        <w:t>Ontological substrate</w:t>
      </w:r>
    </w:p>
    <w:p w14:paraId="47737D7A" w14:textId="77777777" w:rsidR="00626FCF" w:rsidRPr="00FC1C1F" w:rsidRDefault="00626FCF" w:rsidP="00FC1C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Ontologies are loaded first, as the layer into which all evidence is subsequently placed, so every downstream assertion attaches to a term that already carries a hierarchy</w:t>
      </w:r>
    </w:p>
    <w:p w14:paraId="35786927" w14:textId="77777777" w:rsidR="00626FCF" w:rsidRPr="00FC1C1F" w:rsidRDefault="00626FCF" w:rsidP="00FC1C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All OWL sources are kept current</w:t>
      </w:r>
    </w:p>
    <w:p w14:paraId="6D760EDD" w14:textId="77777777" w:rsidR="00626FCF" w:rsidRPr="00FC1C1F" w:rsidRDefault="00626FCF" w:rsidP="00FC1C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Since the build is human-scoped, two ontologies are reduced before loading, by opposite logic appropriate to each:</w:t>
      </w:r>
    </w:p>
    <w:p w14:paraId="5E52FD0E" w14:textId="668C992F" w:rsidR="00626FCF" w:rsidRPr="00FC1C1F" w:rsidRDefault="00626FCF" w:rsidP="00FC1C1F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Protein Ontology (by inclusion): retain only protein classes explicitly asserted to be in a permitted taxon since PR is dominated by non-human classes, which would inflate the graph without supporting human-relevant inference</w:t>
      </w:r>
    </w:p>
    <w:p w14:paraId="3EC98147" w14:textId="573E280A" w:rsidR="00626FCF" w:rsidRPr="00FC1C1F" w:rsidRDefault="00626FCF" w:rsidP="00FC1C1F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UBERON (by exclusion): retain all anatomy except classes whose taxon constraints (</w:t>
      </w:r>
      <w:proofErr w:type="spellStart"/>
      <w:r w:rsidRPr="00FC1C1F">
        <w:rPr>
          <w:rFonts w:ascii="Verdana" w:hAnsi="Verdana"/>
          <w:sz w:val="20"/>
          <w:szCs w:val="20"/>
        </w:rPr>
        <w:t>never_in_taxon</w:t>
      </w:r>
      <w:proofErr w:type="spellEnd"/>
      <w:r w:rsidRPr="00FC1C1F">
        <w:rPr>
          <w:rFonts w:ascii="Verdana" w:hAnsi="Verdana"/>
          <w:sz w:val="20"/>
          <w:szCs w:val="20"/>
        </w:rPr>
        <w:t xml:space="preserve">, </w:t>
      </w:r>
      <w:proofErr w:type="spellStart"/>
      <w:r w:rsidRPr="00FC1C1F">
        <w:rPr>
          <w:rFonts w:ascii="Verdana" w:hAnsi="Verdana"/>
          <w:sz w:val="20"/>
          <w:szCs w:val="20"/>
        </w:rPr>
        <w:t>only_in_taxon</w:t>
      </w:r>
      <w:proofErr w:type="spellEnd"/>
      <w:r w:rsidRPr="00FC1C1F">
        <w:rPr>
          <w:rFonts w:ascii="Verdana" w:hAnsi="Verdana"/>
          <w:sz w:val="20"/>
          <w:szCs w:val="20"/>
        </w:rPr>
        <w:t xml:space="preserve">, </w:t>
      </w:r>
      <w:proofErr w:type="spellStart"/>
      <w:r w:rsidRPr="00FC1C1F">
        <w:rPr>
          <w:rFonts w:ascii="Verdana" w:hAnsi="Verdana"/>
          <w:sz w:val="20"/>
          <w:szCs w:val="20"/>
        </w:rPr>
        <w:t>in_taxon</w:t>
      </w:r>
      <w:proofErr w:type="spellEnd"/>
      <w:r w:rsidRPr="00FC1C1F">
        <w:rPr>
          <w:rFonts w:ascii="Verdana" w:hAnsi="Verdana"/>
          <w:sz w:val="20"/>
          <w:szCs w:val="20"/>
        </w:rPr>
        <w:t xml:space="preserve">), resolved against the </w:t>
      </w:r>
      <w:proofErr w:type="spellStart"/>
      <w:r w:rsidRPr="00FC1C1F">
        <w:rPr>
          <w:rFonts w:ascii="Verdana" w:hAnsi="Verdana"/>
          <w:sz w:val="20"/>
          <w:szCs w:val="20"/>
        </w:rPr>
        <w:t>NCBITaxon</w:t>
      </w:r>
      <w:proofErr w:type="spellEnd"/>
      <w:r w:rsidRPr="00FC1C1F">
        <w:rPr>
          <w:rFonts w:ascii="Verdana" w:hAnsi="Verdana"/>
          <w:sz w:val="20"/>
          <w:szCs w:val="20"/>
        </w:rPr>
        <w:t xml:space="preserve"> hierarchy, rule out every permitted taxon, since anatomy is largely taxon-neutral, so exclusion preserves more usable structure than inclusion would</w:t>
      </w:r>
    </w:p>
    <w:p w14:paraId="3F3024B4" w14:textId="61E5F82B" w:rsidR="00626FCF" w:rsidRPr="00FC1C1F" w:rsidRDefault="00626FCF" w:rsidP="00FC1C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Each OWL file is loaded into a</w:t>
      </w:r>
      <w:r w:rsidR="0099739A">
        <w:rPr>
          <w:rFonts w:ascii="Verdana" w:hAnsi="Verdana"/>
          <w:sz w:val="20"/>
          <w:szCs w:val="20"/>
        </w:rPr>
        <w:t>n</w:t>
      </w:r>
      <w:r w:rsidRPr="00FC1C1F">
        <w:rPr>
          <w:rFonts w:ascii="Verdana" w:hAnsi="Verdana"/>
          <w:sz w:val="20"/>
          <w:szCs w:val="20"/>
        </w:rPr>
        <w:t xml:space="preserve"> Apache Jena (Java) model and its root namespace is derived from the ontology's declared root term (IAO_0000700), falling back to the first class's URI prefix</w:t>
      </w:r>
    </w:p>
    <w:p w14:paraId="6622A9E3" w14:textId="77777777" w:rsidR="00626FCF" w:rsidRPr="00FC1C1F" w:rsidRDefault="00626FCF" w:rsidP="00FC1C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Only classes in that namespace — plus explicitly configured additions, such as PR terms inside </w:t>
      </w:r>
      <w:proofErr w:type="spellStart"/>
      <w:r w:rsidRPr="00FC1C1F">
        <w:rPr>
          <w:rFonts w:ascii="Verdana" w:hAnsi="Verdana"/>
          <w:sz w:val="20"/>
          <w:szCs w:val="20"/>
        </w:rPr>
        <w:t>cl.owl</w:t>
      </w:r>
      <w:proofErr w:type="spellEnd"/>
      <w:r w:rsidRPr="00FC1C1F">
        <w:rPr>
          <w:rFonts w:ascii="Verdana" w:hAnsi="Verdana"/>
          <w:sz w:val="20"/>
          <w:szCs w:val="20"/>
        </w:rPr>
        <w:t xml:space="preserve"> — are considered, so each file contributes its own terms rather than everything it imports</w:t>
      </w:r>
    </w:p>
    <w:p w14:paraId="51F197C5" w14:textId="77777777" w:rsidR="00626FCF" w:rsidRPr="00FC1C1F" w:rsidRDefault="00626FCF" w:rsidP="00FC1C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Among statements about those classes, only predicates drawn from a small set of namespaces (RDFS, OBO, Dublin Core, </w:t>
      </w:r>
      <w:proofErr w:type="spellStart"/>
      <w:r w:rsidRPr="00FC1C1F">
        <w:rPr>
          <w:rFonts w:ascii="Verdana" w:hAnsi="Verdana"/>
          <w:sz w:val="20"/>
          <w:szCs w:val="20"/>
        </w:rPr>
        <w:t>oboInOwl</w:t>
      </w:r>
      <w:proofErr w:type="spellEnd"/>
      <w:r w:rsidRPr="00FC1C1F">
        <w:rPr>
          <w:rFonts w:ascii="Verdana" w:hAnsi="Verdana"/>
          <w:sz w:val="20"/>
          <w:szCs w:val="20"/>
        </w:rPr>
        <w:t>) are kept</w:t>
      </w:r>
    </w:p>
    <w:p w14:paraId="21F6003D" w14:textId="77777777" w:rsidR="00626FCF" w:rsidRPr="00FC1C1F" w:rsidRDefault="00626FCF" w:rsidP="00FC1C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Because objects may be literals or named resources, this single pass yields both the edges between terms and the annotations (labels, synonyms) that decorate them</w:t>
      </w:r>
    </w:p>
    <w:p w14:paraId="7860B72B" w14:textId="77777777" w:rsidR="00626FCF" w:rsidRPr="00FC1C1F" w:rsidRDefault="00626FCF" w:rsidP="00FC1C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Ontology relations of interest are not asserted directly; they are expressed as </w:t>
      </w:r>
      <w:proofErr w:type="spellStart"/>
      <w:proofErr w:type="gramStart"/>
      <w:r w:rsidRPr="00FC1C1F">
        <w:rPr>
          <w:rFonts w:ascii="Verdana" w:hAnsi="Verdana"/>
          <w:sz w:val="20"/>
          <w:szCs w:val="20"/>
        </w:rPr>
        <w:t>rdfs:subClassOf</w:t>
      </w:r>
      <w:proofErr w:type="spellEnd"/>
      <w:proofErr w:type="gramEnd"/>
      <w:r w:rsidRPr="00FC1C1F">
        <w:rPr>
          <w:rFonts w:ascii="Verdana" w:hAnsi="Verdana"/>
          <w:sz w:val="20"/>
          <w:szCs w:val="20"/>
        </w:rPr>
        <w:t xml:space="preserve"> a blank-node class expression carrying </w:t>
      </w:r>
      <w:proofErr w:type="spellStart"/>
      <w:proofErr w:type="gramStart"/>
      <w:r w:rsidRPr="00FC1C1F">
        <w:rPr>
          <w:rFonts w:ascii="Verdana" w:hAnsi="Verdana"/>
          <w:sz w:val="20"/>
          <w:szCs w:val="20"/>
        </w:rPr>
        <w:t>owl:onProperty</w:t>
      </w:r>
      <w:proofErr w:type="spellEnd"/>
      <w:proofErr w:type="gramEnd"/>
      <w:r w:rsidRPr="00FC1C1F">
        <w:rPr>
          <w:rFonts w:ascii="Verdana" w:hAnsi="Verdana"/>
          <w:sz w:val="20"/>
          <w:szCs w:val="20"/>
        </w:rPr>
        <w:t xml:space="preserve"> P and </w:t>
      </w:r>
      <w:proofErr w:type="spellStart"/>
      <w:proofErr w:type="gramStart"/>
      <w:r w:rsidRPr="00FC1C1F">
        <w:rPr>
          <w:rFonts w:ascii="Verdana" w:hAnsi="Verdana"/>
          <w:sz w:val="20"/>
          <w:szCs w:val="20"/>
        </w:rPr>
        <w:t>owl:someValuesFrom</w:t>
      </w:r>
      <w:proofErr w:type="spellEnd"/>
      <w:proofErr w:type="gramEnd"/>
      <w:r w:rsidRPr="00FC1C1F">
        <w:rPr>
          <w:rFonts w:ascii="Verdana" w:hAnsi="Verdana"/>
          <w:sz w:val="20"/>
          <w:szCs w:val="20"/>
        </w:rPr>
        <w:t xml:space="preserve"> Y</w:t>
      </w:r>
    </w:p>
    <w:p w14:paraId="46863DFD" w14:textId="1A3405DA" w:rsidR="00626FCF" w:rsidRPr="00FC1C1F" w:rsidRDefault="00626FCF" w:rsidP="00FC1C1F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The parser walks into that anonymous node, recovers P and Y, and synthesizes a single named triple subject–P–object</w:t>
      </w:r>
    </w:p>
    <w:p w14:paraId="1FCC7471" w14:textId="7D64F823" w:rsidR="00626FCF" w:rsidRPr="00FC1C1F" w:rsidRDefault="00626FCF" w:rsidP="00FC1C1F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A triple survives if its subject is in an accepted namespace and its predicate is not excluded so that the ontologies interlink</w:t>
      </w:r>
    </w:p>
    <w:p w14:paraId="7FEBF3B0" w14:textId="2B766643" w:rsidR="00532BBE" w:rsidRPr="00FC1C1F" w:rsidRDefault="00532BBE" w:rsidP="00FC1C1F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This process converts OWL class-expression axioms into labeled edges such as ``part of'' or ``has part''; without it the graph would contain only subclass links and blank nodes</w:t>
      </w:r>
    </w:p>
    <w:p w14:paraId="5397129F" w14:textId="77777777" w:rsidR="00626FCF" w:rsidRPr="00FC1C1F" w:rsidRDefault="00626FCF" w:rsidP="00FC1C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Triples from all files are </w:t>
      </w:r>
      <w:proofErr w:type="spellStart"/>
      <w:r w:rsidRPr="00FC1C1F">
        <w:rPr>
          <w:rFonts w:ascii="Verdana" w:hAnsi="Verdana"/>
          <w:sz w:val="20"/>
          <w:szCs w:val="20"/>
        </w:rPr>
        <w:t>unioned</w:t>
      </w:r>
      <w:proofErr w:type="spellEnd"/>
      <w:r w:rsidRPr="00FC1C1F">
        <w:rPr>
          <w:rFonts w:ascii="Verdana" w:hAnsi="Verdana"/>
          <w:sz w:val="20"/>
          <w:szCs w:val="20"/>
        </w:rPr>
        <w:t xml:space="preserve"> into a set, so terms asserted in more than one ontology collapse to one</w:t>
      </w:r>
    </w:p>
    <w:p w14:paraId="12FE0FD4" w14:textId="0E3836E3" w:rsidR="00532BBE" w:rsidRPr="00FC1C1F" w:rsidRDefault="00626FCF" w:rsidP="00FC1C1F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The Relation Ontology (</w:t>
      </w:r>
      <w:proofErr w:type="spellStart"/>
      <w:r w:rsidRPr="00FC1C1F">
        <w:rPr>
          <w:rFonts w:ascii="Verdana" w:hAnsi="Verdana"/>
          <w:sz w:val="20"/>
          <w:szCs w:val="20"/>
        </w:rPr>
        <w:t>ro.owl</w:t>
      </w:r>
      <w:proofErr w:type="spellEnd"/>
      <w:r w:rsidRPr="00FC1C1F">
        <w:rPr>
          <w:rFonts w:ascii="Verdana" w:hAnsi="Verdana"/>
          <w:sz w:val="20"/>
          <w:szCs w:val="20"/>
        </w:rPr>
        <w:t xml:space="preserve">) is deliberately excluded from triple collection and instead parsed for </w:t>
      </w:r>
      <w:proofErr w:type="spellStart"/>
      <w:r w:rsidRPr="00FC1C1F">
        <w:rPr>
          <w:rFonts w:ascii="Verdana" w:hAnsi="Verdana"/>
          <w:sz w:val="20"/>
          <w:szCs w:val="20"/>
        </w:rPr>
        <w:t>term</w:t>
      </w:r>
      <w:r w:rsidRPr="00FC1C1F">
        <w:rPr>
          <w:rFonts w:ascii="Arial" w:hAnsi="Arial" w:cs="Arial"/>
          <w:sz w:val="20"/>
          <w:szCs w:val="20"/>
        </w:rPr>
        <w:t>→</w:t>
      </w:r>
      <w:r w:rsidRPr="00FC1C1F">
        <w:rPr>
          <w:rFonts w:ascii="Verdana" w:hAnsi="Verdana"/>
          <w:sz w:val="20"/>
          <w:szCs w:val="20"/>
        </w:rPr>
        <w:t>label</w:t>
      </w:r>
      <w:proofErr w:type="spellEnd"/>
      <w:r w:rsidRPr="00FC1C1F">
        <w:rPr>
          <w:rFonts w:ascii="Verdana" w:hAnsi="Verdana"/>
          <w:sz w:val="20"/>
          <w:szCs w:val="20"/>
        </w:rPr>
        <w:t xml:space="preserve"> maps, so the property URIs recovered during flattening can be rendered as human-readable relation names</w:t>
      </w:r>
    </w:p>
    <w:p w14:paraId="4B973D19" w14:textId="3554D863" w:rsidR="00626FCF" w:rsidRPr="00FC1C1F" w:rsidRDefault="00626FCF" w:rsidP="00FC1C1F">
      <w:pPr>
        <w:keepNext/>
        <w:spacing w:before="100" w:beforeAutospacing="1" w:after="100" w:afterAutospacing="1" w:line="240" w:lineRule="auto"/>
        <w:rPr>
          <w:rFonts w:ascii="Verdana" w:hAnsi="Verdana"/>
          <w:b/>
          <w:bCs/>
          <w:sz w:val="20"/>
          <w:szCs w:val="20"/>
        </w:rPr>
      </w:pPr>
      <w:r w:rsidRPr="00FC1C1F">
        <w:rPr>
          <w:rFonts w:ascii="Verdana" w:hAnsi="Verdana"/>
          <w:b/>
          <w:bCs/>
          <w:sz w:val="20"/>
          <w:szCs w:val="20"/>
        </w:rPr>
        <w:t>Evidence integration</w:t>
      </w:r>
    </w:p>
    <w:p w14:paraId="6CABDF9A" w14:textId="77777777" w:rsidR="00626FCF" w:rsidRPr="00FC1C1F" w:rsidRDefault="00626FCF" w:rsidP="00FC1C1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Each source is translated by a dedicated writer into schema-conformant tuples, in a fixed order chosen so entities exist before they are annotated: </w:t>
      </w:r>
      <w:proofErr w:type="spellStart"/>
      <w:r w:rsidRPr="00FC1C1F">
        <w:rPr>
          <w:rFonts w:ascii="Verdana" w:hAnsi="Verdana"/>
          <w:sz w:val="20"/>
          <w:szCs w:val="20"/>
        </w:rPr>
        <w:t>NSForest</w:t>
      </w:r>
      <w:proofErr w:type="spellEnd"/>
      <w:r w:rsidRPr="00FC1C1F">
        <w:rPr>
          <w:rFonts w:ascii="Verdana" w:hAnsi="Verdana"/>
          <w:sz w:val="20"/>
          <w:szCs w:val="20"/>
        </w:rPr>
        <w:t xml:space="preserve"> </w:t>
      </w:r>
      <w:r w:rsidRPr="00FC1C1F">
        <w:rPr>
          <w:rFonts w:ascii="Arial" w:hAnsi="Arial" w:cs="Arial"/>
          <w:sz w:val="20"/>
          <w:szCs w:val="20"/>
        </w:rPr>
        <w:t>→</w:t>
      </w:r>
      <w:r w:rsidRPr="00FC1C1F">
        <w:rPr>
          <w:rFonts w:ascii="Verdana" w:hAnsi="Verdana"/>
          <w:sz w:val="20"/>
          <w:szCs w:val="20"/>
        </w:rPr>
        <w:t xml:space="preserve"> author-to-CL mapping </w:t>
      </w:r>
      <w:r w:rsidRPr="00FC1C1F">
        <w:rPr>
          <w:rFonts w:ascii="Arial" w:hAnsi="Arial" w:cs="Arial"/>
          <w:sz w:val="20"/>
          <w:szCs w:val="20"/>
        </w:rPr>
        <w:t>→</w:t>
      </w:r>
      <w:r w:rsidRPr="00FC1C1F">
        <w:rPr>
          <w:rFonts w:ascii="Verdana" w:hAnsi="Verdana"/>
          <w:sz w:val="20"/>
          <w:szCs w:val="20"/>
        </w:rPr>
        <w:t xml:space="preserve"> </w:t>
      </w:r>
      <w:proofErr w:type="spellStart"/>
      <w:r w:rsidRPr="00FC1C1F">
        <w:rPr>
          <w:rFonts w:ascii="Verdana" w:hAnsi="Verdana"/>
          <w:sz w:val="20"/>
          <w:szCs w:val="20"/>
        </w:rPr>
        <w:t>CELLxGENE</w:t>
      </w:r>
      <w:proofErr w:type="spellEnd"/>
      <w:r w:rsidRPr="00FC1C1F">
        <w:rPr>
          <w:rFonts w:ascii="Verdana" w:hAnsi="Verdana"/>
          <w:sz w:val="20"/>
          <w:szCs w:val="20"/>
        </w:rPr>
        <w:t xml:space="preserve"> </w:t>
      </w:r>
      <w:r w:rsidRPr="00FC1C1F">
        <w:rPr>
          <w:rFonts w:ascii="Arial" w:hAnsi="Arial" w:cs="Arial"/>
          <w:sz w:val="20"/>
          <w:szCs w:val="20"/>
        </w:rPr>
        <w:t>→</w:t>
      </w:r>
      <w:r w:rsidRPr="00FC1C1F">
        <w:rPr>
          <w:rFonts w:ascii="Verdana" w:hAnsi="Verdana"/>
          <w:sz w:val="20"/>
          <w:szCs w:val="20"/>
        </w:rPr>
        <w:t xml:space="preserve"> Open Targets </w:t>
      </w:r>
      <w:r w:rsidRPr="00FC1C1F">
        <w:rPr>
          <w:rFonts w:ascii="Arial" w:hAnsi="Arial" w:cs="Arial"/>
          <w:sz w:val="20"/>
          <w:szCs w:val="20"/>
        </w:rPr>
        <w:t>→</w:t>
      </w:r>
      <w:r w:rsidRPr="00FC1C1F">
        <w:rPr>
          <w:rFonts w:ascii="Verdana" w:hAnsi="Verdana"/>
          <w:sz w:val="20"/>
          <w:szCs w:val="20"/>
        </w:rPr>
        <w:t xml:space="preserve"> NCBI Gene </w:t>
      </w:r>
      <w:r w:rsidRPr="00FC1C1F">
        <w:rPr>
          <w:rFonts w:ascii="Arial" w:hAnsi="Arial" w:cs="Arial"/>
          <w:sz w:val="20"/>
          <w:szCs w:val="20"/>
        </w:rPr>
        <w:t>→</w:t>
      </w:r>
      <w:r w:rsidRPr="00FC1C1F">
        <w:rPr>
          <w:rFonts w:ascii="Verdana" w:hAnsi="Verdana"/>
          <w:sz w:val="20"/>
          <w:szCs w:val="20"/>
        </w:rPr>
        <w:t xml:space="preserve"> </w:t>
      </w:r>
      <w:proofErr w:type="spellStart"/>
      <w:r w:rsidRPr="00FC1C1F">
        <w:rPr>
          <w:rFonts w:ascii="Verdana" w:hAnsi="Verdana"/>
          <w:sz w:val="20"/>
          <w:szCs w:val="20"/>
        </w:rPr>
        <w:t>UniProt</w:t>
      </w:r>
      <w:proofErr w:type="spellEnd"/>
      <w:r w:rsidRPr="00FC1C1F">
        <w:rPr>
          <w:rFonts w:ascii="Verdana" w:hAnsi="Verdana"/>
          <w:sz w:val="20"/>
          <w:szCs w:val="20"/>
        </w:rPr>
        <w:t>.</w:t>
      </w:r>
    </w:p>
    <w:p w14:paraId="66036948" w14:textId="77777777" w:rsidR="00626FCF" w:rsidRPr="00FC1C1F" w:rsidRDefault="00626FCF" w:rsidP="00FC1C1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lastRenderedPageBreak/>
        <w:t xml:space="preserve">The </w:t>
      </w:r>
      <w:proofErr w:type="spellStart"/>
      <w:r w:rsidRPr="00FC1C1F">
        <w:rPr>
          <w:rFonts w:ascii="Verdana" w:hAnsi="Verdana"/>
          <w:sz w:val="20"/>
          <w:szCs w:val="20"/>
        </w:rPr>
        <w:t>ckn_schema</w:t>
      </w:r>
      <w:proofErr w:type="spellEnd"/>
      <w:r w:rsidRPr="00FC1C1F">
        <w:rPr>
          <w:rFonts w:ascii="Verdana" w:hAnsi="Verdana"/>
          <w:sz w:val="20"/>
          <w:szCs w:val="20"/>
        </w:rPr>
        <w:t xml:space="preserve"> </w:t>
      </w:r>
      <w:proofErr w:type="spellStart"/>
      <w:r w:rsidRPr="00FC1C1F">
        <w:rPr>
          <w:rFonts w:ascii="Verdana" w:hAnsi="Verdana"/>
          <w:sz w:val="20"/>
          <w:szCs w:val="20"/>
        </w:rPr>
        <w:t>Pydantic</w:t>
      </w:r>
      <w:proofErr w:type="spellEnd"/>
      <w:r w:rsidRPr="00FC1C1F">
        <w:rPr>
          <w:rFonts w:ascii="Verdana" w:hAnsi="Verdana"/>
          <w:sz w:val="20"/>
          <w:szCs w:val="20"/>
        </w:rPr>
        <w:t xml:space="preserve"> classes (a </w:t>
      </w:r>
      <w:proofErr w:type="spellStart"/>
      <w:r w:rsidRPr="00FC1C1F">
        <w:rPr>
          <w:rFonts w:ascii="Verdana" w:hAnsi="Verdana"/>
          <w:sz w:val="20"/>
          <w:szCs w:val="20"/>
        </w:rPr>
        <w:t>LinkML</w:t>
      </w:r>
      <w:proofErr w:type="spellEnd"/>
      <w:r w:rsidRPr="00FC1C1F">
        <w:rPr>
          <w:rFonts w:ascii="Verdana" w:hAnsi="Verdana"/>
          <w:sz w:val="20"/>
          <w:szCs w:val="20"/>
        </w:rPr>
        <w:t>-generated package, installed as a dependency) act as the intermediate representation between every source parser and the graph.</w:t>
      </w:r>
    </w:p>
    <w:p w14:paraId="6C4FAC39" w14:textId="77777777" w:rsidR="00626FCF" w:rsidRPr="00FC1C1F" w:rsidRDefault="00626FCF" w:rsidP="00FC1C1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Entities carry the data; Associations carry the relations.</w:t>
      </w:r>
    </w:p>
    <w:p w14:paraId="328BB7D5" w14:textId="4F29C077" w:rsidR="00626FCF" w:rsidRPr="00FC1C1F" w:rsidRDefault="00626FCF" w:rsidP="00FC1C1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Each writer maps raw source records into entity instances (Gene, Protein, </w:t>
      </w:r>
      <w:proofErr w:type="spellStart"/>
      <w:r w:rsidRPr="00FC1C1F">
        <w:rPr>
          <w:rFonts w:ascii="Verdana" w:hAnsi="Verdana"/>
          <w:sz w:val="20"/>
          <w:szCs w:val="20"/>
        </w:rPr>
        <w:t>CellSet</w:t>
      </w:r>
      <w:proofErr w:type="spellEnd"/>
      <w:r w:rsidRPr="00FC1C1F">
        <w:rPr>
          <w:rFonts w:ascii="Verdana" w:hAnsi="Verdana"/>
          <w:sz w:val="20"/>
          <w:szCs w:val="20"/>
        </w:rPr>
        <w:t xml:space="preserve">, </w:t>
      </w:r>
      <w:proofErr w:type="spellStart"/>
      <w:r w:rsidRPr="00FC1C1F">
        <w:rPr>
          <w:rFonts w:ascii="Verdana" w:hAnsi="Verdana"/>
          <w:sz w:val="20"/>
          <w:szCs w:val="20"/>
        </w:rPr>
        <w:t>AnatomicalStructure</w:t>
      </w:r>
      <w:proofErr w:type="spellEnd"/>
      <w:r w:rsidRPr="00FC1C1F">
        <w:rPr>
          <w:rFonts w:ascii="Verdana" w:hAnsi="Verdana"/>
          <w:sz w:val="20"/>
          <w:szCs w:val="20"/>
        </w:rPr>
        <w:t xml:space="preserve">, …), then wraps a subject/object pair in an Association subclass, e.g. </w:t>
      </w:r>
      <w:proofErr w:type="spellStart"/>
      <w:proofErr w:type="gramStart"/>
      <w:r w:rsidRPr="00FC1C1F">
        <w:rPr>
          <w:rFonts w:ascii="Verdana" w:hAnsi="Verdana"/>
          <w:sz w:val="20"/>
          <w:szCs w:val="20"/>
        </w:rPr>
        <w:t>GeneProducesProtein</w:t>
      </w:r>
      <w:proofErr w:type="spellEnd"/>
      <w:r w:rsidRPr="00FC1C1F">
        <w:rPr>
          <w:rFonts w:ascii="Verdana" w:hAnsi="Verdana"/>
          <w:sz w:val="20"/>
          <w:szCs w:val="20"/>
        </w:rPr>
        <w:t>(</w:t>
      </w:r>
      <w:proofErr w:type="gramEnd"/>
      <w:r w:rsidRPr="00FC1C1F">
        <w:rPr>
          <w:rFonts w:ascii="Verdana" w:hAnsi="Verdana"/>
          <w:sz w:val="20"/>
          <w:szCs w:val="20"/>
        </w:rPr>
        <w:t>subject=</w:t>
      </w:r>
      <w:proofErr w:type="spellStart"/>
      <w:r w:rsidRPr="00FC1C1F">
        <w:rPr>
          <w:rFonts w:ascii="Verdana" w:hAnsi="Verdana"/>
          <w:sz w:val="20"/>
          <w:szCs w:val="20"/>
        </w:rPr>
        <w:t>gene_entity</w:t>
      </w:r>
      <w:proofErr w:type="spellEnd"/>
      <w:r w:rsidRPr="00FC1C1F">
        <w:rPr>
          <w:rFonts w:ascii="Verdana" w:hAnsi="Verdana"/>
          <w:sz w:val="20"/>
          <w:szCs w:val="20"/>
        </w:rPr>
        <w:t>, predicate="</w:t>
      </w:r>
      <w:proofErr w:type="spellStart"/>
      <w:r w:rsidRPr="00FC1C1F">
        <w:rPr>
          <w:rFonts w:ascii="Verdana" w:hAnsi="Verdana"/>
          <w:sz w:val="20"/>
          <w:szCs w:val="20"/>
        </w:rPr>
        <w:t>nlm-</w:t>
      </w:r>
      <w:proofErr w:type="gramStart"/>
      <w:r w:rsidRPr="00FC1C1F">
        <w:rPr>
          <w:rFonts w:ascii="Verdana" w:hAnsi="Verdana"/>
          <w:sz w:val="20"/>
          <w:szCs w:val="20"/>
        </w:rPr>
        <w:t>ckn:produces</w:t>
      </w:r>
      <w:proofErr w:type="spellEnd"/>
      <w:proofErr w:type="gramEnd"/>
      <w:r w:rsidRPr="00FC1C1F">
        <w:rPr>
          <w:rFonts w:ascii="Verdana" w:hAnsi="Verdana"/>
          <w:sz w:val="20"/>
          <w:szCs w:val="20"/>
        </w:rPr>
        <w:t>", object=</w:t>
      </w:r>
      <w:proofErr w:type="spellStart"/>
      <w:r w:rsidRPr="00FC1C1F">
        <w:rPr>
          <w:rFonts w:ascii="Verdana" w:hAnsi="Verdana"/>
          <w:sz w:val="20"/>
          <w:szCs w:val="20"/>
        </w:rPr>
        <w:t>protein_entity</w:t>
      </w:r>
      <w:proofErr w:type="spellEnd"/>
      <w:r w:rsidRPr="00FC1C1F">
        <w:rPr>
          <w:rFonts w:ascii="Verdana" w:hAnsi="Verdana"/>
          <w:sz w:val="20"/>
          <w:szCs w:val="20"/>
        </w:rPr>
        <w:t>)</w:t>
      </w:r>
    </w:p>
    <w:p w14:paraId="4E1C7270" w14:textId="77777777" w:rsidR="00626FCF" w:rsidRPr="00FC1C1F" w:rsidRDefault="00626FCF" w:rsidP="00FC1C1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The predicate URI comes from the schema, not the writer: the string literal a writer passes as predicate= is essentially declarative; the actual edge label is derived from the </w:t>
      </w:r>
      <w:proofErr w:type="spellStart"/>
      <w:r w:rsidRPr="00FC1C1F">
        <w:rPr>
          <w:rFonts w:ascii="Verdana" w:hAnsi="Verdana"/>
          <w:sz w:val="20"/>
          <w:szCs w:val="20"/>
        </w:rPr>
        <w:t>LinkML</w:t>
      </w:r>
      <w:proofErr w:type="spellEnd"/>
      <w:r w:rsidRPr="00FC1C1F">
        <w:rPr>
          <w:rFonts w:ascii="Verdana" w:hAnsi="Verdana"/>
          <w:sz w:val="20"/>
          <w:szCs w:val="20"/>
        </w:rPr>
        <w:t xml:space="preserve"> metadata, then expanded to a CURIE via the schema's prefix map</w:t>
      </w:r>
    </w:p>
    <w:p w14:paraId="4372869B" w14:textId="2615DF47" w:rsidR="00532BBE" w:rsidRPr="00FC1C1F" w:rsidRDefault="00626FCF" w:rsidP="00FC1C1F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Loading those tuples onto the ontological substrate yields the integrated graph: cell sets and their marker combinations attached to ontology terms, and those terms in turn attached to molecular, clinical, and bibliographic evidence</w:t>
      </w:r>
    </w:p>
    <w:p w14:paraId="2CD88CEE" w14:textId="37B204E5" w:rsidR="00626FCF" w:rsidRPr="00FC1C1F" w:rsidRDefault="00626FCF" w:rsidP="00FC1C1F">
      <w:pPr>
        <w:keepNext/>
        <w:spacing w:before="100" w:beforeAutospacing="1" w:after="100" w:afterAutospacing="1" w:line="240" w:lineRule="auto"/>
        <w:rPr>
          <w:rFonts w:ascii="Verdana" w:hAnsi="Verdana"/>
          <w:b/>
          <w:bCs/>
          <w:sz w:val="20"/>
          <w:szCs w:val="20"/>
        </w:rPr>
      </w:pPr>
      <w:r w:rsidRPr="00FC1C1F">
        <w:rPr>
          <w:rFonts w:ascii="Verdana" w:hAnsi="Verdana"/>
          <w:b/>
          <w:bCs/>
          <w:sz w:val="20"/>
          <w:szCs w:val="20"/>
        </w:rPr>
        <w:t>Induced subgraph</w:t>
      </w:r>
    </w:p>
    <w:p w14:paraId="346DECCA" w14:textId="26AF54CE" w:rsidR="00626FCF" w:rsidRPr="00FC1C1F" w:rsidRDefault="00626FCF" w:rsidP="00FC1C1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The integrated graph retains ontology material unreachable from any observation, so the released graph is therefore induced by a scientific judgment about what constitutes the evidence-supported neighborhood of the cell sets</w:t>
      </w:r>
    </w:p>
    <w:p w14:paraId="44CA380E" w14:textId="77777777" w:rsidR="00626FCF" w:rsidRPr="00FC1C1F" w:rsidRDefault="00626FCF" w:rsidP="00FC1C1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A multi-source breadth-first traversal to a bounded depth (10) seeded at all cell-set vertices retains every vertex reached together with all edges as the induced subgraph</w:t>
      </w:r>
    </w:p>
    <w:p w14:paraId="3ADF57D8" w14:textId="490921E0" w:rsidR="00626FCF" w:rsidRPr="00FC1C1F" w:rsidRDefault="00626FCF" w:rsidP="00FC1C1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The </w:t>
      </w:r>
      <w:proofErr w:type="spellStart"/>
      <w:r w:rsidRPr="00FC1C1F">
        <w:rPr>
          <w:rFonts w:ascii="Verdana" w:hAnsi="Verdana"/>
          <w:sz w:val="20"/>
          <w:szCs w:val="20"/>
        </w:rPr>
        <w:t>protein</w:t>
      </w:r>
      <w:r w:rsidRPr="00FC1C1F">
        <w:rPr>
          <w:rFonts w:ascii="Arial" w:hAnsi="Arial" w:cs="Arial"/>
          <w:sz w:val="20"/>
          <w:szCs w:val="20"/>
        </w:rPr>
        <w:t>→</w:t>
      </w:r>
      <w:r w:rsidRPr="00FC1C1F">
        <w:rPr>
          <w:rFonts w:ascii="Verdana" w:hAnsi="Verdana"/>
          <w:sz w:val="20"/>
          <w:szCs w:val="20"/>
        </w:rPr>
        <w:t>taxon</w:t>
      </w:r>
      <w:proofErr w:type="spellEnd"/>
      <w:r w:rsidRPr="00FC1C1F">
        <w:rPr>
          <w:rFonts w:ascii="Verdana" w:hAnsi="Verdana"/>
          <w:sz w:val="20"/>
          <w:szCs w:val="20"/>
        </w:rPr>
        <w:t xml:space="preserve"> relation is not traversed at all since every protein is annotated with its source organism </w:t>
      </w:r>
      <w:r w:rsidR="0099739A">
        <w:rPr>
          <w:rFonts w:ascii="Verdana" w:hAnsi="Verdana"/>
          <w:sz w:val="20"/>
          <w:szCs w:val="20"/>
        </w:rPr>
        <w:t>so</w:t>
      </w:r>
      <w:r w:rsidRPr="00FC1C1F">
        <w:rPr>
          <w:rFonts w:ascii="Verdana" w:hAnsi="Verdana"/>
          <w:sz w:val="20"/>
          <w:szCs w:val="20"/>
        </w:rPr>
        <w:t xml:space="preserve"> this one edge class would pull the entire PR back in to the released graph</w:t>
      </w:r>
    </w:p>
    <w:p w14:paraId="344A27F2" w14:textId="77777777" w:rsidR="00626FCF" w:rsidRPr="00FC1C1F" w:rsidRDefault="00626FCF" w:rsidP="00FC1C1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Ancestor paths are restored per ontology under an explicit policy:</w:t>
      </w:r>
    </w:p>
    <w:p w14:paraId="1BEB31AD" w14:textId="07DC1366" w:rsidR="00626FCF" w:rsidRPr="00FC1C1F" w:rsidRDefault="00626FCF" w:rsidP="00FC1C1F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The full hierarchy for CL (the cell-type backbone)</w:t>
      </w:r>
    </w:p>
    <w:p w14:paraId="28DD8D9F" w14:textId="57ACFA01" w:rsidR="00626FCF" w:rsidRPr="00FC1C1F" w:rsidRDefault="00626FCF" w:rsidP="00FC1C1F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Ancestor walks to root along SUB_CLASS_OF for GO, MONDO, HP, PATO, </w:t>
      </w:r>
      <w:r w:rsidR="0099739A">
        <w:rPr>
          <w:rFonts w:ascii="Verdana" w:hAnsi="Verdana"/>
          <w:sz w:val="20"/>
          <w:szCs w:val="20"/>
        </w:rPr>
        <w:t xml:space="preserve">and </w:t>
      </w:r>
      <w:proofErr w:type="spellStart"/>
      <w:r w:rsidRPr="00FC1C1F">
        <w:rPr>
          <w:rFonts w:ascii="Verdana" w:hAnsi="Verdana"/>
          <w:sz w:val="20"/>
          <w:szCs w:val="20"/>
        </w:rPr>
        <w:t>HsapDv</w:t>
      </w:r>
      <w:proofErr w:type="spellEnd"/>
    </w:p>
    <w:p w14:paraId="568EC315" w14:textId="10162083" w:rsidR="00626FCF" w:rsidRDefault="00626FCF" w:rsidP="00FC1C1F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Ancestor walks along PART_OF for UBERON, the meaningful anatomical relation</w:t>
      </w:r>
    </w:p>
    <w:p w14:paraId="6FC81432" w14:textId="47551910" w:rsidR="0099739A" w:rsidRPr="00FC1C1F" w:rsidRDefault="0099739A" w:rsidP="00FC1C1F">
      <w:pPr>
        <w:pStyle w:val="ListParagraph"/>
        <w:numPr>
          <w:ilvl w:val="1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NCBITaxon</w:t>
      </w:r>
      <w:proofErr w:type="spellEnd"/>
      <w:r>
        <w:rPr>
          <w:rFonts w:ascii="Verdana" w:hAnsi="Verdana"/>
          <w:sz w:val="20"/>
          <w:szCs w:val="20"/>
        </w:rPr>
        <w:t xml:space="preserve"> is limite</w:t>
      </w:r>
      <w:r w:rsidR="001500BA">
        <w:rPr>
          <w:rFonts w:ascii="Verdana" w:hAnsi="Verdana"/>
          <w:sz w:val="20"/>
          <w:szCs w:val="20"/>
        </w:rPr>
        <w:t>d</w:t>
      </w:r>
      <w:r>
        <w:rPr>
          <w:rFonts w:ascii="Verdana" w:hAnsi="Verdana"/>
          <w:sz w:val="20"/>
          <w:szCs w:val="20"/>
        </w:rPr>
        <w:t xml:space="preserve"> to homo sapiens only</w:t>
      </w:r>
    </w:p>
    <w:p w14:paraId="4B8979CC" w14:textId="31EBD2CA" w:rsidR="00532BBE" w:rsidRPr="00FC1C1F" w:rsidRDefault="00626FCF" w:rsidP="00FC1C1F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>The result is promoted to versioned storage</w:t>
      </w:r>
    </w:p>
    <w:p w14:paraId="5CBAE412" w14:textId="1BA2B1BE" w:rsidR="00626FCF" w:rsidRPr="00FC1C1F" w:rsidRDefault="00626FCF" w:rsidP="00FC1C1F">
      <w:pPr>
        <w:keepNext/>
        <w:spacing w:before="100" w:beforeAutospacing="1" w:after="100" w:afterAutospacing="1" w:line="240" w:lineRule="auto"/>
        <w:rPr>
          <w:rFonts w:ascii="Verdana" w:hAnsi="Verdana"/>
          <w:b/>
          <w:bCs/>
          <w:sz w:val="20"/>
          <w:szCs w:val="20"/>
        </w:rPr>
      </w:pPr>
      <w:r w:rsidRPr="00FC1C1F">
        <w:rPr>
          <w:rFonts w:ascii="Verdana" w:hAnsi="Verdana"/>
          <w:b/>
          <w:bCs/>
          <w:sz w:val="20"/>
          <w:szCs w:val="20"/>
        </w:rPr>
        <w:t>Data validation</w:t>
      </w:r>
    </w:p>
    <w:p w14:paraId="26043F1B" w14:textId="5705AD56" w:rsidR="00626FCF" w:rsidRPr="00FC1C1F" w:rsidRDefault="00626FCF" w:rsidP="00FC1C1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The </w:t>
      </w:r>
      <w:proofErr w:type="spellStart"/>
      <w:r w:rsidRPr="00FC1C1F">
        <w:rPr>
          <w:rFonts w:ascii="Verdana" w:hAnsi="Verdana"/>
          <w:sz w:val="20"/>
          <w:szCs w:val="20"/>
        </w:rPr>
        <w:t>ProductionDataSpecification</w:t>
      </w:r>
      <w:proofErr w:type="spellEnd"/>
      <w:r w:rsidRPr="00FC1C1F">
        <w:rPr>
          <w:rFonts w:ascii="Verdana" w:hAnsi="Verdana"/>
          <w:sz w:val="20"/>
          <w:szCs w:val="20"/>
        </w:rPr>
        <w:t xml:space="preserve"> module (Python) specif</w:t>
      </w:r>
      <w:r w:rsidR="00532BBE" w:rsidRPr="00FC1C1F">
        <w:rPr>
          <w:rFonts w:ascii="Verdana" w:hAnsi="Verdana"/>
          <w:sz w:val="20"/>
          <w:szCs w:val="20"/>
        </w:rPr>
        <w:t>i</w:t>
      </w:r>
      <w:r w:rsidRPr="00FC1C1F">
        <w:rPr>
          <w:rFonts w:ascii="Verdana" w:hAnsi="Verdana"/>
          <w:sz w:val="20"/>
          <w:szCs w:val="20"/>
        </w:rPr>
        <w:t>es the file-naming conventions (the results_ensg_*.csv anchor and the prefix substitution that locates its summary/silhouette/mapping companions), the required versus optional columns per file kind, the value-format patterns, and a few normalization rules</w:t>
      </w:r>
    </w:p>
    <w:p w14:paraId="6E814116" w14:textId="77777777" w:rsidR="00626FCF" w:rsidRPr="00FC1C1F" w:rsidRDefault="00626FCF" w:rsidP="00FC1C1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The </w:t>
      </w:r>
      <w:proofErr w:type="spellStart"/>
      <w:r w:rsidRPr="00FC1C1F">
        <w:rPr>
          <w:rFonts w:ascii="Verdana" w:hAnsi="Verdana"/>
          <w:sz w:val="20"/>
          <w:szCs w:val="20"/>
        </w:rPr>
        <w:t>ProductionDataValidator</w:t>
      </w:r>
      <w:proofErr w:type="spellEnd"/>
      <w:r w:rsidRPr="00FC1C1F">
        <w:rPr>
          <w:rFonts w:ascii="Verdana" w:hAnsi="Verdana"/>
          <w:sz w:val="20"/>
          <w:szCs w:val="20"/>
        </w:rPr>
        <w:t xml:space="preserve"> module (Python) uses the specification to check assumptions that, if incorrect, would otherwise degrade the graph invisibly: an inner merge dropping rows, a dataset skipped for a malformed CL id, a companion file missed on a suffix mismatch</w:t>
      </w:r>
    </w:p>
    <w:p w14:paraId="25C6F9CC" w14:textId="0A289BB2" w:rsidR="00085000" w:rsidRPr="00FC1C1F" w:rsidRDefault="00626FCF" w:rsidP="00FC1C1F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 w:rsidRPr="00FC1C1F">
        <w:rPr>
          <w:rFonts w:ascii="Verdana" w:hAnsi="Verdana"/>
          <w:sz w:val="20"/>
          <w:szCs w:val="20"/>
        </w:rPr>
        <w:t xml:space="preserve">The </w:t>
      </w:r>
      <w:proofErr w:type="spellStart"/>
      <w:r w:rsidRPr="00FC1C1F">
        <w:rPr>
          <w:rFonts w:ascii="Verdana" w:hAnsi="Verdana"/>
          <w:sz w:val="20"/>
          <w:szCs w:val="20"/>
        </w:rPr>
        <w:t>ProductionDataValidator</w:t>
      </w:r>
      <w:proofErr w:type="spellEnd"/>
      <w:r w:rsidRPr="00FC1C1F">
        <w:rPr>
          <w:rFonts w:ascii="Verdana" w:hAnsi="Verdana"/>
          <w:sz w:val="20"/>
          <w:szCs w:val="20"/>
        </w:rPr>
        <w:t xml:space="preserve"> runs against the source tree ahead of the pipeline, so a bad release is rejected before the data fetch and graph build stages</w:t>
      </w:r>
    </w:p>
    <w:p w14:paraId="72EA62AF" w14:textId="53A78AD9" w:rsidR="00626FCF" w:rsidRPr="00FC1C1F" w:rsidRDefault="00FC1C1F" w:rsidP="00FC1C1F">
      <w:pPr>
        <w:keepNext/>
        <w:spacing w:before="100" w:beforeAutospacing="1" w:after="100" w:afterAutospacing="1" w:line="240" w:lineRule="auto"/>
        <w:rPr>
          <w:rFonts w:ascii="Verdana" w:hAnsi="Verdana"/>
          <w:b/>
          <w:bCs/>
          <w:sz w:val="20"/>
          <w:szCs w:val="20"/>
        </w:rPr>
      </w:pPr>
      <w:r w:rsidRPr="00FC1C1F">
        <w:rPr>
          <w:rFonts w:ascii="Verdana" w:hAnsi="Verdana"/>
          <w:b/>
          <w:bCs/>
          <w:sz w:val="20"/>
          <w:szCs w:val="20"/>
        </w:rPr>
        <w:lastRenderedPageBreak/>
        <w:t>Figure 1: NLM-CKN ETL Pipeline</w:t>
      </w:r>
    </w:p>
    <w:p w14:paraId="6E1B498C" w14:textId="49EC4709" w:rsidR="00532BBE" w:rsidRPr="00626FCF" w:rsidRDefault="00FC1C1F">
      <w:pPr>
        <w:spacing w:before="100" w:beforeAutospacing="1" w:after="100" w:afterAutospacing="1" w:line="24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noProof/>
          <w:sz w:val="20"/>
          <w:szCs w:val="20"/>
        </w:rPr>
        <w:drawing>
          <wp:inline distT="0" distB="0" distL="0" distR="0" wp14:anchorId="086DF053" wp14:editId="128DC317">
            <wp:extent cx="5943600" cy="3528060"/>
            <wp:effectExtent l="0" t="0" r="0" b="2540"/>
            <wp:docPr id="66820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00788" name="Picture 6682007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BBE" w:rsidRPr="00626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E47C03"/>
    <w:multiLevelType w:val="hybridMultilevel"/>
    <w:tmpl w:val="C5F4CF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A227D8"/>
    <w:multiLevelType w:val="hybridMultilevel"/>
    <w:tmpl w:val="A8A427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AC17059"/>
    <w:multiLevelType w:val="hybridMultilevel"/>
    <w:tmpl w:val="9E084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692509"/>
    <w:multiLevelType w:val="hybridMultilevel"/>
    <w:tmpl w:val="2070E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A42E9E"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D5FDD"/>
    <w:multiLevelType w:val="hybridMultilevel"/>
    <w:tmpl w:val="B656843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ED26556"/>
    <w:multiLevelType w:val="hybridMultilevel"/>
    <w:tmpl w:val="C27CB6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D6A436E"/>
    <w:multiLevelType w:val="hybridMultilevel"/>
    <w:tmpl w:val="37A874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D8E0FBA"/>
    <w:multiLevelType w:val="hybridMultilevel"/>
    <w:tmpl w:val="F21EF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94105624">
    <w:abstractNumId w:val="3"/>
  </w:num>
  <w:num w:numId="2" w16cid:durableId="710955170">
    <w:abstractNumId w:val="0"/>
  </w:num>
  <w:num w:numId="3" w16cid:durableId="1040280392">
    <w:abstractNumId w:val="6"/>
  </w:num>
  <w:num w:numId="4" w16cid:durableId="679161360">
    <w:abstractNumId w:val="5"/>
  </w:num>
  <w:num w:numId="5" w16cid:durableId="717167815">
    <w:abstractNumId w:val="4"/>
  </w:num>
  <w:num w:numId="6" w16cid:durableId="50272006">
    <w:abstractNumId w:val="7"/>
  </w:num>
  <w:num w:numId="7" w16cid:durableId="1486779690">
    <w:abstractNumId w:val="2"/>
  </w:num>
  <w:num w:numId="8" w16cid:durableId="20159883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FCF"/>
    <w:rsid w:val="00085000"/>
    <w:rsid w:val="001500BA"/>
    <w:rsid w:val="0026049B"/>
    <w:rsid w:val="003A5A8D"/>
    <w:rsid w:val="00532BBE"/>
    <w:rsid w:val="00626F7D"/>
    <w:rsid w:val="00626FCF"/>
    <w:rsid w:val="00647EFB"/>
    <w:rsid w:val="0088153E"/>
    <w:rsid w:val="00985923"/>
    <w:rsid w:val="0099739A"/>
    <w:rsid w:val="00A31530"/>
    <w:rsid w:val="00B1439C"/>
    <w:rsid w:val="00B97A72"/>
    <w:rsid w:val="00DA2FF1"/>
    <w:rsid w:val="00EB09C9"/>
    <w:rsid w:val="00FC1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2998B"/>
  <w15:chartTrackingRefBased/>
  <w15:docId w15:val="{60D2EAB1-0E98-7D48-930E-B8369BEB9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F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F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F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F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F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F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F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F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F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F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F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1232</Words>
  <Characters>7026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Leclair, Raymond (NIH/NLM) [C]</dc:creator>
  <cp:keywords/>
  <dc:description/>
  <cp:lastModifiedBy>Leclair, Raymond (NIH/NLM) [C]</cp:lastModifiedBy>
  <cp:revision>5</cp:revision>
  <dcterms:created xsi:type="dcterms:W3CDTF">2026-08-04T16:16:00Z</dcterms:created>
  <dcterms:modified xsi:type="dcterms:W3CDTF">2026-08-11T18:32:00Z</dcterms:modified>
</cp:coreProperties>
</file>