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Speaker Notes for Entanglement Dynamic Topology for Robust Quantum Sensing</w:t>
      </w:r>
    </w:p>
    <w:p>
      <w:pPr>
        <w:spacing w:after="400"/>
      </w:pPr>
      <w:r>
        <w:rPr>
          <w:rFonts w:ascii="Arial" w:hAnsi="Arial"/>
          <w:b/>
          <w:color w:val="1F4E79"/>
          <w:sz w:val="32"/>
        </w:rPr>
        <w:t>Twenty minute presentation guide</w:t>
      </w:r>
    </w:p>
    <w:p>
      <w:r>
        <w:rPr>
          <w:rFonts w:ascii="Arial" w:hAnsi="Arial"/>
          <w:b/>
          <w:color w:val="000000"/>
          <w:sz w:val="22"/>
        </w:rPr>
        <w:t>Presentation by Hang Hu, Hsu Kiang Ooi, and Anguang Hu</w:t>
      </w:r>
    </w:p>
    <w:p>
      <w:r>
        <w:rPr>
          <w:rFonts w:ascii="Arial" w:hAnsi="Arial"/>
          <w:color w:val="666666"/>
          <w:sz w:val="22"/>
        </w:rPr>
        <w:t>National Research Council Canada and Defence Research and Development Canada</w:t>
      </w:r>
    </w:p>
    <w:p/>
    <w:p>
      <w:r>
        <w:rPr>
          <w:rFonts w:ascii="Arial" w:hAnsi="Arial"/>
          <w:b/>
          <w:color w:val="000000"/>
          <w:sz w:val="24"/>
        </w:rPr>
        <w:t>Purpose</w:t>
      </w:r>
    </w:p>
    <w:p>
      <w:r>
        <w:t>This guide provides a connected spoken narrative for the 17-slide NATO STO presentation. It keeps the model boundaries explicit: the reported sensitivities and operating regions are literature-anchored predictions, not calibrated measurements.</w:t>
      </w:r>
    </w:p>
    <w:p>
      <w:r>
        <w:rPr>
          <w:rFonts w:ascii="Arial" w:hAnsi="Arial"/>
          <w:b/>
          <w:color w:val="000000"/>
          <w:sz w:val="24"/>
        </w:rPr>
        <w:t>Central conclusion</w:t>
      </w:r>
    </w:p>
    <w:p>
      <w:r>
        <w:t>Useful XY8 control occupies a finite, hardware-dependent region. For the nominal 200 kilohertz model, N equals 20 gives the lowest predicted score, N equals 10 to 34 defines the 10 percent operating window, and N equals 16 retains nearly the same modeled performance with fewer pulses.</w:t>
      </w:r>
    </w:p>
    <w:p>
      <w:r>
        <w:br w:type="page"/>
      </w:r>
    </w:p>
    <w:p>
      <w:pPr>
        <w:pStyle w:val="Heading1"/>
      </w:pPr>
      <w:r>
        <w:t>Delivery map</w:t>
      </w:r>
    </w:p>
    <w:p>
      <w:r>
        <w:t>The pacing below totals 20 minutes. If time becomes short, compress Slides 3, 9, 10, and 15 before shortening the central evidence on Slides 6 to 8 or the validation plan on Slide 14.</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080"/>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b/>
                <w:color w:val="FFFFFF"/>
                <w:sz w:val="19"/>
              </w:rPr>
              <w:t>Slides</w:t>
            </w:r>
          </w:p>
        </w:tc>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b/>
                <w:color w:val="FFFFFF"/>
                <w:sz w:val="19"/>
              </w:rPr>
              <w:t>Section</w:t>
            </w:r>
          </w:p>
        </w:tc>
        <w:tc>
          <w:tcPr>
            <w:tcW w:type="dxa" w:w="1440"/>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b/>
                <w:color w:val="FFFFFF"/>
                <w:sz w:val="19"/>
              </w:rPr>
              <w:t>Time</w:t>
            </w:r>
          </w:p>
        </w:tc>
        <w:tc>
          <w:tcPr>
            <w:tcW w:type="dxa" w:w="4824"/>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b/>
                <w:color w:val="FFFFFF"/>
                <w:sz w:val="19"/>
              </w:rPr>
              <w:t>Role in the argument</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1-2</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Motivation</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1:45</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State the operational question and defence relevance.</w:t>
            </w:r>
          </w:p>
        </w:tc>
      </w:tr>
      <w:tr>
        <w:tc>
          <w:tcPr>
            <w:tcW w:type="dxa" w:w="10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3-6</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Method</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4:50</w:t>
            </w:r>
          </w:p>
        </w:tc>
        <w:tc>
          <w:tcPr>
            <w:tcW w:type="dxa" w:w="48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Explain NV sensing, XY8, the score, and the EDT interpretation.</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7-14</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Results and decision</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10:15</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Resolve the control window, identify its mechanism, quantify uncertainty, and define a validation test.</w:t>
            </w:r>
          </w:p>
        </w:tc>
      </w:tr>
      <w:tr>
        <w:tc>
          <w:tcPr>
            <w:tcW w:type="dxa" w:w="10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15-16</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Material environment</w:t>
            </w:r>
          </w:p>
        </w:tc>
        <w:tc>
          <w:tcPr>
            <w:tcW w:type="dxa" w:w="14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2:20</w:t>
            </w:r>
          </w:p>
        </w:tc>
        <w:tc>
          <w:tcPr>
            <w:tcW w:type="dxa" w:w="482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Connect first-principles strain and temperature inputs to the control landscape.</w:t>
            </w:r>
          </w:p>
        </w:tc>
      </w:tr>
      <w:t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17</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Conclusion</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color w:val="000000"/>
                <w:sz w:val="19"/>
              </w:rPr>
              <w:t>0:50</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color w:val="000000"/>
                <w:sz w:val="19"/>
              </w:rPr>
              <w:t>State the defensible conclusion and immediate experimental next step.</w:t>
            </w:r>
          </w:p>
        </w:tc>
      </w:tr>
    </w:tbl>
    <w:p/>
    <w:p>
      <w:pPr>
        <w:pStyle w:val="Heading2"/>
      </w:pPr>
      <w:r>
        <w:t>Delivery principles</w:t>
      </w:r>
    </w:p>
    <w:p>
      <w:pPr>
        <w:pStyle w:val="ListBullet"/>
        <w:spacing w:after="80" w:line="252" w:lineRule="auto"/>
      </w:pPr>
      <w:r>
        <w:t>Lead with the conclusion on each results slide, then point to the evidence that supports it.</w:t>
      </w:r>
    </w:p>
    <w:p>
      <w:pPr>
        <w:pStyle w:val="ListBullet"/>
        <w:spacing w:after="80" w:line="252" w:lineRule="auto"/>
      </w:pPr>
      <w:r>
        <w:t>Use the phrase modeled score or predicted performance when discussing eta. Avoid calling it a measured magnetic sensitivity.</w:t>
      </w:r>
    </w:p>
    <w:p>
      <w:pPr>
        <w:pStyle w:val="ListBullet"/>
        <w:spacing w:after="80" w:line="252" w:lineRule="auto"/>
      </w:pPr>
      <w:r>
        <w:t>State that N counts XY8 blocks and that each block contains eight pi pulses whenever pulse count matters.</w:t>
      </w:r>
    </w:p>
    <w:p>
      <w:pPr>
        <w:pStyle w:val="ListBullet"/>
        <w:spacing w:after="80" w:line="252" w:lineRule="auto"/>
      </w:pPr>
      <w:r>
        <w:t>When discussing topology, define beta zero as the number of connected near-optimal regions. Do not imply a topological material or quantum phase.</w:t>
      </w:r>
    </w:p>
    <w:p>
      <w:r>
        <w:br w:type="page"/>
      </w:r>
    </w:p>
    <w:p>
      <w:pPr>
        <w:pStyle w:val="Heading1"/>
        <w:keepNext/>
      </w:pPr>
      <w:r>
        <w:t>Slide 1  Entanglement Dynamic Topology for Robust Quantum Sensing</w:t>
      </w:r>
    </w:p>
    <w:p>
      <w:pPr>
        <w:spacing w:after="160"/>
      </w:pPr>
      <w:r>
        <w:rPr>
          <w:rFonts w:ascii="Arial" w:hAnsi="Arial"/>
          <w:b/>
          <w:color w:val="2F75B5"/>
          <w:sz w:val="21"/>
        </w:rPr>
        <w:t>Target time  0:50</w:t>
      </w:r>
    </w:p>
    <w:p>
      <w:pPr>
        <w:spacing w:after="200"/>
      </w:pPr>
      <w:r>
        <w:rPr>
          <w:rFonts w:ascii="Arial" w:hAnsi="Arial"/>
          <w:b/>
          <w:color w:val="000000"/>
          <w:sz w:val="21"/>
        </w:rPr>
        <w:t xml:space="preserve">Purpose  </w:t>
      </w:r>
      <w:r>
        <w:rPr>
          <w:rFonts w:ascii="Arial" w:hAnsi="Arial"/>
          <w:color w:val="000000"/>
          <w:sz w:val="21"/>
        </w:rPr>
        <w:t>Open with the operational question and establish the scope of the talk.</w:t>
      </w:r>
    </w:p>
    <w:p>
      <w:pPr>
        <w:pStyle w:val="Heading2"/>
      </w:pPr>
      <w:r>
        <w:t>Suggested speaker notes</w:t>
      </w:r>
    </w:p>
    <w:p>
      <w:pPr>
        <w:spacing w:after="160"/>
      </w:pPr>
      <w:r>
        <w:t>Good morning. The question behind this work is simple: how much quantum control is enough? In quantum sensing, adding control pulses can extend coherence and improve frequency selectivity, but every pulse also consumes time and introduces error.</w:t>
      </w:r>
    </w:p>
    <w:p>
      <w:pPr>
        <w:spacing w:after="160"/>
      </w:pPr>
      <w:r>
        <w:t>We use Entanglement Dynamic Topology, or EDT, to identify the finite operating region in which the resources required for sensing remain useful together. The example is an NV centre in diamond using XY8 control to sense a 200 kilohertz alternating magnetic field.</w:t>
      </w:r>
    </w:p>
    <w:p>
      <w:pPr>
        <w:spacing w:after="160"/>
      </w:pPr>
      <w:r>
        <w:t>I will show four things: the predicted operating window, the physical mechanism that limits control depth, a rule that converts measured hardware quality into a recommendation, and a compact experiment that can confirm or challenge the prediction. These are model results, not yet calibrated sensor measurements.</w:t>
      </w:r>
    </w:p>
    <w:p>
      <w:pPr>
        <w:spacing w:before="120"/>
      </w:pPr>
      <w:r>
        <w:rPr>
          <w:rFonts w:ascii="Arial" w:hAnsi="Arial"/>
          <w:b/>
          <w:i/>
          <w:color w:val="1F4E79"/>
          <w:sz w:val="21"/>
        </w:rPr>
        <w:t xml:space="preserve">Transition  </w:t>
      </w:r>
      <w:r>
        <w:rPr>
          <w:rFonts w:ascii="Arial" w:hAnsi="Arial"/>
          <w:i/>
          <w:color w:val="666666"/>
          <w:sz w:val="21"/>
        </w:rPr>
        <w:t>I will begin with why a stable operating point matters for defence sensing.</w:t>
      </w:r>
    </w:p>
    <w:p>
      <w:r>
        <w:br w:type="page"/>
      </w:r>
    </w:p>
    <w:p>
      <w:pPr>
        <w:pStyle w:val="Heading1"/>
        <w:keepNext/>
      </w:pPr>
      <w:r>
        <w:t>Slide 2  Defence applications</w:t>
      </w:r>
    </w:p>
    <w:p>
      <w:pPr>
        <w:spacing w:after="160"/>
      </w:pPr>
      <w:r>
        <w:rPr>
          <w:rFonts w:ascii="Arial" w:hAnsi="Arial"/>
          <w:b/>
          <w:color w:val="2F75B5"/>
          <w:sz w:val="21"/>
        </w:rPr>
        <w:t>Target time  0:55</w:t>
      </w:r>
    </w:p>
    <w:p>
      <w:pPr>
        <w:spacing w:after="200"/>
      </w:pPr>
      <w:r>
        <w:rPr>
          <w:rFonts w:ascii="Arial" w:hAnsi="Arial"/>
          <w:b/>
          <w:color w:val="000000"/>
          <w:sz w:val="21"/>
        </w:rPr>
        <w:t xml:space="preserve">Purpose  </w:t>
      </w:r>
      <w:r>
        <w:rPr>
          <w:rFonts w:ascii="Arial" w:hAnsi="Arial"/>
          <w:color w:val="000000"/>
          <w:sz w:val="21"/>
        </w:rPr>
        <w:t>Motivate fieldable magnetometry without claiming that the modeled sensor is deployment ready.</w:t>
      </w:r>
    </w:p>
    <w:p>
      <w:pPr>
        <w:pStyle w:val="Heading2"/>
      </w:pPr>
      <w:r>
        <w:t>Suggested speaker notes</w:t>
      </w:r>
    </w:p>
    <w:p>
      <w:pPr>
        <w:spacing w:after="160"/>
      </w:pPr>
      <w:r>
        <w:t>Two applications illustrate the motivation. A submerged steel hull perturbs the local geomagnetic field, and magnetic anomaly detection instruments search for that disturbance. Magnetic maps can also provide a position reference when satellite navigation is denied, degraded, or deliberately jammed.</w:t>
      </w:r>
    </w:p>
    <w:p>
      <w:pPr>
        <w:spacing w:after="160"/>
      </w:pPr>
      <w:r>
        <w:t>The common requirement is not merely the best sensitivity obtained in a laboratory. A useful field sensor must hold a known operating point as temperature, calibration quality, noise, and control performance change.</w:t>
      </w:r>
    </w:p>
    <w:p>
      <w:pPr>
        <w:spacing w:after="160"/>
      </w:pPr>
      <w:r>
        <w:t>This slide does not claim that the modeled NV system has been qualified for submarine detection or navigation. The examples explain why robust calibration and interpretable control matter. The research question is how to select control settings that remain useful under realistic resource limits.</w:t>
      </w:r>
    </w:p>
    <w:p>
      <w:pPr>
        <w:spacing w:before="120"/>
      </w:pPr>
      <w:r>
        <w:rPr>
          <w:rFonts w:ascii="Arial" w:hAnsi="Arial"/>
          <w:b/>
          <w:i/>
          <w:color w:val="1F4E79"/>
          <w:sz w:val="21"/>
        </w:rPr>
        <w:t xml:space="preserve">Transition  </w:t>
      </w:r>
      <w:r>
        <w:rPr>
          <w:rFonts w:ascii="Arial" w:hAnsi="Arial"/>
          <w:i/>
          <w:color w:val="666666"/>
          <w:sz w:val="21"/>
        </w:rPr>
        <w:t>To see where those limits arise, we first need the basic NV sensing mechanism.</w:t>
      </w:r>
    </w:p>
    <w:p>
      <w:r>
        <w:br w:type="page"/>
      </w:r>
    </w:p>
    <w:p>
      <w:pPr>
        <w:pStyle w:val="Heading1"/>
        <w:keepNext/>
      </w:pPr>
      <w:r>
        <w:t>Slide 3  NV centre sensing background</w:t>
      </w:r>
    </w:p>
    <w:p>
      <w:pPr>
        <w:spacing w:after="160"/>
      </w:pPr>
      <w:r>
        <w:rPr>
          <w:rFonts w:ascii="Arial" w:hAnsi="Arial"/>
          <w:b/>
          <w:color w:val="2F75B5"/>
          <w:sz w:val="21"/>
        </w:rPr>
        <w:t>Target time  0:55</w:t>
      </w:r>
    </w:p>
    <w:p>
      <w:pPr>
        <w:spacing w:after="200"/>
      </w:pPr>
      <w:r>
        <w:rPr>
          <w:rFonts w:ascii="Arial" w:hAnsi="Arial"/>
          <w:b/>
          <w:color w:val="000000"/>
          <w:sz w:val="21"/>
        </w:rPr>
        <w:t xml:space="preserve">Purpose  </w:t>
      </w:r>
      <w:r>
        <w:rPr>
          <w:rFonts w:ascii="Arial" w:hAnsi="Arial"/>
          <w:color w:val="000000"/>
          <w:sz w:val="21"/>
        </w:rPr>
        <w:t>Explain what the NV centre measures and why coherence sets the sensing budget.</w:t>
      </w:r>
    </w:p>
    <w:p>
      <w:pPr>
        <w:pStyle w:val="Heading2"/>
      </w:pPr>
      <w:r>
        <w:t>Suggested speaker notes</w:t>
      </w:r>
    </w:p>
    <w:p>
      <w:pPr>
        <w:spacing w:after="160"/>
      </w:pPr>
      <w:r>
        <w:t>An NV centre is a nitrogen atom beside a missing carbon atom in diamond. Its electronic ground state is a spin triplet. We use two spin levels as an effective qubit, initialise the spin with green light, let it evolve in the magnetic field, and read the final state through fluorescence.</w:t>
      </w:r>
    </w:p>
    <w:p>
      <w:pPr>
        <w:spacing w:after="160"/>
      </w:pPr>
      <w:r>
        <w:t>The field produces a phase shift. In the small-signal picture, the accumulated phase grows with field strength and interrogation time. Longer useful evolution can therefore improve sensitivity.</w:t>
      </w:r>
    </w:p>
    <w:p>
      <w:pPr>
        <w:spacing w:after="160"/>
      </w:pPr>
      <w:r>
        <w:t>The problem is that uncontrolled environmental fluctuations destroy the phase. Free-induction coherence is typically much shorter than the time we would like to use. The control problem is therefore to extend useful interrogation time while preserving the target signal and retaining reliable readout.</w:t>
      </w:r>
    </w:p>
    <w:p>
      <w:pPr>
        <w:spacing w:before="120"/>
      </w:pPr>
      <w:r>
        <w:rPr>
          <w:rFonts w:ascii="Arial" w:hAnsi="Arial"/>
          <w:b/>
          <w:i/>
          <w:color w:val="1F4E79"/>
          <w:sz w:val="21"/>
        </w:rPr>
        <w:t xml:space="preserve">Transition  </w:t>
      </w:r>
      <w:r>
        <w:rPr>
          <w:rFonts w:ascii="Arial" w:hAnsi="Arial"/>
          <w:i/>
          <w:color w:val="666666"/>
          <w:sz w:val="21"/>
        </w:rPr>
        <w:t>XY8 is the control protocol used here to recover that interrogation time selectively.</w:t>
      </w:r>
    </w:p>
    <w:p>
      <w:r>
        <w:br w:type="page"/>
      </w:r>
    </w:p>
    <w:p>
      <w:pPr>
        <w:pStyle w:val="Heading1"/>
        <w:keepNext/>
      </w:pPr>
      <w:r>
        <w:t>Slide 4  XY8 dynamical decoupling</w:t>
      </w:r>
    </w:p>
    <w:p>
      <w:pPr>
        <w:spacing w:after="160"/>
      </w:pPr>
      <w:r>
        <w:rPr>
          <w:rFonts w:ascii="Arial" w:hAnsi="Arial"/>
          <w:b/>
          <w:color w:val="2F75B5"/>
          <w:sz w:val="21"/>
        </w:rPr>
        <w:t>Target time  1:10</w:t>
      </w:r>
    </w:p>
    <w:p>
      <w:pPr>
        <w:spacing w:after="200"/>
      </w:pPr>
      <w:r>
        <w:rPr>
          <w:rFonts w:ascii="Arial" w:hAnsi="Arial"/>
          <w:b/>
          <w:color w:val="000000"/>
          <w:sz w:val="21"/>
        </w:rPr>
        <w:t xml:space="preserve">Purpose  </w:t>
      </w:r>
      <w:r>
        <w:rPr>
          <w:rFonts w:ascii="Arial" w:hAnsi="Arial"/>
          <w:color w:val="000000"/>
          <w:sz w:val="21"/>
        </w:rPr>
        <w:t>Explain how XY8 suppresses slow noise while selecting an AC sensing band.</w:t>
      </w:r>
    </w:p>
    <w:p>
      <w:pPr>
        <w:pStyle w:val="Heading2"/>
      </w:pPr>
      <w:r>
        <w:t>Suggested speaker notes</w:t>
      </w:r>
    </w:p>
    <w:p>
      <w:pPr>
        <w:spacing w:after="160"/>
      </w:pPr>
      <w:r>
        <w:t>Without control, slow magnetic noise causes different NV spins, or repeated measurements of the same spin, to accumulate unwanted phase. A pi pulse reverses the sign of that phase accumulation. A repeated pulse train can therefore refocus slowly varying noise.</w:t>
      </w:r>
    </w:p>
    <w:p>
      <w:pPr>
        <w:spacing w:after="160"/>
      </w:pPr>
      <w:r>
        <w:t>For sensing, the same sign reversal acts as a filter. If an alternating target field changes sign in step with the control sequence, its contribution adds constructively while off-band fluctuations largely cancel. Pulse timing therefore selects the sensing frequency.</w:t>
      </w:r>
    </w:p>
    <w:p>
      <w:pPr>
        <w:spacing w:after="160"/>
      </w:pPr>
      <w:r>
        <w:t>One XY8 block contains eight phased pi pulses in the order X, Y, X, Y, Y, X, Y, X. Alternating the rotation axes reduces sensitivity to some amplitude and detuning errors compared with a train using only one axis. In this presentation, N counts complete XY8 blocks, so the total number of pi pulses is eight times N.</w:t>
      </w:r>
    </w:p>
    <w:p>
      <w:pPr>
        <w:spacing w:after="160"/>
      </w:pPr>
      <w:r>
        <w:t>The model timing parameter tau is half the centre-to-centre interpulse gap. At 200 kilohertz, tau equals 1.25 microseconds, corresponding to a full gap of about 2.5 microseconds.</w:t>
      </w:r>
    </w:p>
    <w:p>
      <w:pPr>
        <w:spacing w:before="120"/>
      </w:pPr>
      <w:r>
        <w:rPr>
          <w:rFonts w:ascii="Arial" w:hAnsi="Arial"/>
          <w:b/>
          <w:i/>
          <w:color w:val="1F4E79"/>
          <w:sz w:val="21"/>
        </w:rPr>
        <w:t xml:space="preserve">Transition  </w:t>
      </w:r>
      <w:r>
        <w:rPr>
          <w:rFonts w:ascii="Arial" w:hAnsi="Arial"/>
          <w:i/>
          <w:color w:val="666666"/>
          <w:sz w:val="21"/>
        </w:rPr>
        <w:t>The benefit is clear, but increasing the number of blocks also increases the cost.</w:t>
      </w:r>
    </w:p>
    <w:p>
      <w:r>
        <w:br w:type="page"/>
      </w:r>
    </w:p>
    <w:p>
      <w:pPr>
        <w:pStyle w:val="Heading1"/>
        <w:keepNext/>
      </w:pPr>
      <w:r>
        <w:t>Slide 5  Competing benefits and costs of control</w:t>
      </w:r>
    </w:p>
    <w:p>
      <w:pPr>
        <w:spacing w:after="160"/>
      </w:pPr>
      <w:r>
        <w:rPr>
          <w:rFonts w:ascii="Arial" w:hAnsi="Arial"/>
          <w:b/>
          <w:color w:val="2F75B5"/>
          <w:sz w:val="21"/>
        </w:rPr>
        <w:t>Target time  1:05</w:t>
      </w:r>
    </w:p>
    <w:p>
      <w:pPr>
        <w:spacing w:after="200"/>
      </w:pPr>
      <w:r>
        <w:rPr>
          <w:rFonts w:ascii="Arial" w:hAnsi="Arial"/>
          <w:b/>
          <w:color w:val="000000"/>
          <w:sz w:val="21"/>
        </w:rPr>
        <w:t xml:space="preserve">Purpose  </w:t>
      </w:r>
      <w:r>
        <w:rPr>
          <w:rFonts w:ascii="Arial" w:hAnsi="Arial"/>
          <w:color w:val="000000"/>
          <w:sz w:val="21"/>
        </w:rPr>
        <w:t>Introduce the optimization problem and explain what the model ranks.</w:t>
      </w:r>
    </w:p>
    <w:p>
      <w:pPr>
        <w:pStyle w:val="Heading2"/>
      </w:pPr>
      <w:r>
        <w:t>Suggested speaker notes</w:t>
      </w:r>
    </w:p>
    <w:p>
      <w:pPr>
        <w:spacing w:after="160"/>
      </w:pPr>
      <w:r>
        <w:t>Deeper XY8 control can accumulate more target phase and sharpen the frequency response. Those are the benefits shown on the first two cards. The third card is the cost: a longer sequence experiences more decoherence, repeats more imperfect pulses, and occupies more of each measurement cycle.</w:t>
      </w:r>
    </w:p>
    <w:p>
      <w:pPr>
        <w:spacing w:after="160"/>
      </w:pPr>
      <w:r>
        <w:t>The model evaluates every candidate timing tau and depth N. It calculates the sequence duration, response to the target frequency, loss of coherence, cumulative pulse-error survival, photon collection, optical contrast, and preparation and readout overhead. These factors are combined into a relative sensitivity proxy eta, where lower is better.</w:t>
      </w:r>
    </w:p>
    <w:p>
      <w:pPr>
        <w:spacing w:after="160"/>
      </w:pPr>
      <w:r>
        <w:t>The score ranks settings on a common basis. It deliberately does not claim an absolute sensitivity in tesla per square-root hertz, because that would require device-specific calibration. The design objective is therefore to minimize eta under all modeled resource constraints, rather than to maximize pulse count or coherence alone.</w:t>
      </w:r>
    </w:p>
    <w:p>
      <w:pPr>
        <w:spacing w:before="120"/>
      </w:pPr>
      <w:r>
        <w:rPr>
          <w:rFonts w:ascii="Arial" w:hAnsi="Arial"/>
          <w:b/>
          <w:i/>
          <w:color w:val="1F4E79"/>
          <w:sz w:val="21"/>
        </w:rPr>
        <w:t xml:space="preserve">Transition  </w:t>
      </w:r>
      <w:r>
        <w:rPr>
          <w:rFonts w:ascii="Arial" w:hAnsi="Arial"/>
          <w:i/>
          <w:color w:val="666666"/>
          <w:sz w:val="21"/>
        </w:rPr>
        <w:t>EDT adds a connected-region interpretation to this resource-aware ranking.</w:t>
      </w:r>
    </w:p>
    <w:p>
      <w:r>
        <w:br w:type="page"/>
      </w:r>
    </w:p>
    <w:p>
      <w:pPr>
        <w:pStyle w:val="Heading1"/>
        <w:keepNext/>
      </w:pPr>
      <w:r>
        <w:t>Slide 6  What EDT means in this study</w:t>
      </w:r>
    </w:p>
    <w:p>
      <w:pPr>
        <w:spacing w:after="160"/>
      </w:pPr>
      <w:r>
        <w:rPr>
          <w:rFonts w:ascii="Arial" w:hAnsi="Arial"/>
          <w:b/>
          <w:color w:val="2F75B5"/>
          <w:sz w:val="21"/>
        </w:rPr>
        <w:t>Target time  1:40</w:t>
      </w:r>
    </w:p>
    <w:p>
      <w:pPr>
        <w:spacing w:after="200"/>
      </w:pPr>
      <w:r>
        <w:rPr>
          <w:rFonts w:ascii="Arial" w:hAnsi="Arial"/>
          <w:b/>
          <w:color w:val="000000"/>
          <w:sz w:val="21"/>
        </w:rPr>
        <w:t xml:space="preserve">Purpose  </w:t>
      </w:r>
      <w:r>
        <w:rPr>
          <w:rFonts w:ascii="Arial" w:hAnsi="Arial"/>
          <w:color w:val="000000"/>
          <w:sz w:val="21"/>
        </w:rPr>
        <w:t>Define entanglement, dynamics, and topology precisely enough to avoid treating EDT as a label.</w:t>
      </w:r>
    </w:p>
    <w:p>
      <w:pPr>
        <w:pStyle w:val="Heading2"/>
      </w:pPr>
      <w:r>
        <w:t>Suggested speaker notes</w:t>
      </w:r>
    </w:p>
    <w:p>
      <w:pPr>
        <w:spacing w:after="160"/>
      </w:pPr>
      <w:r>
        <w:t>Before presenting the numerical results, I want to define how EDT is used in this study. EDT seeks operating regions in which the quantum resources required for sensing remain useful at the same time. Here those resources include selective signal accumulation, spin coherence, accurate microwave control, and optical readout.</w:t>
      </w:r>
    </w:p>
    <w:p>
      <w:pPr>
        <w:spacing w:after="160"/>
      </w:pPr>
      <w:r>
        <w:t>The entanglement term describes the broader framework. Multi-spin entanglement can improve field response, but it also adds state-preparation and coherence costs. This study uses one NV spin, so it does not yet claim entanglement-enhanced sensing. The single-spin case provides a controlled baseline for adding coupled or entangled spins later.</w:t>
      </w:r>
    </w:p>
    <w:p>
      <w:pPr>
        <w:spacing w:after="160"/>
      </w:pPr>
      <w:r>
        <w:t>The dynamic component is modeled directly. XY8 changes the sensor response during a measurement. Tau selects the sensing band, while N controls accumulation, selectivity, duration, and accumulated error.</w:t>
      </w:r>
    </w:p>
    <w:p>
      <w:pPr>
        <w:spacing w:after="160"/>
      </w:pPr>
      <w:r>
        <w:t>Topology has a specific and deliberately simple meaning here. For every tau and N, we calculate eta. We collect all settings within 10 percent of the minimum, then examine whether this set forms one connected region, several separated regions, or reaches a search boundary. The number of connected components is beta zero.</w:t>
      </w:r>
    </w:p>
    <w:p>
      <w:pPr>
        <w:spacing w:after="160"/>
      </w:pPr>
      <w:r>
        <w:t>For the nominal 200 kilohertz case, the 10 percent set forms one connected resonant region, so beta zero equals one. This result remains stable when the timing grid is refined. EDT therefore converts one numerical minimum into a bounded and testable operating region.</w:t>
      </w:r>
    </w:p>
    <w:p>
      <w:pPr>
        <w:spacing w:before="120"/>
      </w:pPr>
      <w:r>
        <w:rPr>
          <w:rFonts w:ascii="Arial" w:hAnsi="Arial"/>
          <w:b/>
          <w:i/>
          <w:color w:val="1F4E79"/>
          <w:sz w:val="21"/>
        </w:rPr>
        <w:t xml:space="preserve">Transition  </w:t>
      </w:r>
      <w:r>
        <w:rPr>
          <w:rFonts w:ascii="Arial" w:hAnsi="Arial"/>
          <w:i/>
          <w:color w:val="666666"/>
          <w:sz w:val="21"/>
        </w:rPr>
        <w:t>With those definitions in place, we can read the main result from left to right.</w:t>
      </w:r>
    </w:p>
    <w:p>
      <w:r>
        <w:br w:type="page"/>
      </w:r>
    </w:p>
    <w:p>
      <w:pPr>
        <w:pStyle w:val="Heading1"/>
        <w:keepNext/>
      </w:pPr>
      <w:r>
        <w:t>Slide 7  Finite hardware dependent control window</w:t>
      </w:r>
    </w:p>
    <w:p>
      <w:pPr>
        <w:spacing w:after="160"/>
      </w:pPr>
      <w:r>
        <w:rPr>
          <w:rFonts w:ascii="Arial" w:hAnsi="Arial"/>
          <w:b/>
          <w:color w:val="2F75B5"/>
          <w:sz w:val="21"/>
        </w:rPr>
        <w:t>Target time  2:00</w:t>
      </w:r>
    </w:p>
    <w:p>
      <w:pPr>
        <w:spacing w:after="200"/>
      </w:pPr>
      <w:r>
        <w:rPr>
          <w:rFonts w:ascii="Arial" w:hAnsi="Arial"/>
          <w:b/>
          <w:color w:val="000000"/>
          <w:sz w:val="21"/>
        </w:rPr>
        <w:t xml:space="preserve">Purpose  </w:t>
      </w:r>
      <w:r>
        <w:rPr>
          <w:rFonts w:ascii="Arial" w:hAnsi="Arial"/>
          <w:color w:val="000000"/>
          <w:sz w:val="21"/>
        </w:rPr>
        <w:t>Present the central result and explain all three figure panels.</w:t>
      </w:r>
    </w:p>
    <w:p>
      <w:pPr>
        <w:pStyle w:val="Heading2"/>
      </w:pPr>
      <w:r>
        <w:t>Suggested speaker notes</w:t>
      </w:r>
    </w:p>
    <w:p>
      <w:pPr>
        <w:spacing w:after="160"/>
      </w:pPr>
      <w:r>
        <w:t>This slide contains the main numerical result. The early coarse scan reported in the abstract suggested a shallow range around N equals 4 to 10. That scan did not place points exactly on the principal resonance and used a sparse set of depths. We therefore sampled the exact 200 kilohertz resonance and increased the timing and depth resolution.</w:t>
      </w:r>
    </w:p>
    <w:p>
      <w:pPr>
        <w:spacing w:after="160"/>
      </w:pPr>
      <w:r>
        <w:t>Panel A shows the normalized XY8 filter response at N equals 20. The principal peak occurs at 200 kilohertz, confirming that tau equals 1.25 microseconds selects the intended band. Smaller higher-frequency peaks are harmonics of the pulse pattern.</w:t>
      </w:r>
    </w:p>
    <w:p>
      <w:pPr>
        <w:spacing w:after="160"/>
      </w:pPr>
      <w:r>
        <w:t>Panel B is the two-dimensional performance landscape. The horizontal axis is the model timing parameter tau, and the vertical axis is the number of XY8 blocks. Colour gives the logarithm of the penalty relative to the best score, so lower is better. The optimum is N equals 20 at tau equals 1.25 microseconds. The near-optimal contour spans N equals 10 to 34 at resonance. It does not touch the depth boundaries, so the optimum is resolved rather than imposed by the search range.</w:t>
      </w:r>
    </w:p>
    <w:p>
      <w:pPr>
        <w:spacing w:after="160"/>
      </w:pPr>
      <w:r>
        <w:t>Panel C shows why this is a hardware-dependent result. Conservative assumptions select N equals 8. Nominal hardware selects N equals 20. Optimistic hardware selects N equals 64. The conclusion is not that every NV sensor should use 20 blocks. The conclusion is that useful control occupies a finite region whose location depends on hardware quality.</w:t>
      </w:r>
    </w:p>
    <w:p>
      <w:pPr>
        <w:spacing w:before="120"/>
      </w:pPr>
      <w:r>
        <w:rPr>
          <w:rFonts w:ascii="Arial" w:hAnsi="Arial"/>
          <w:b/>
          <w:i/>
          <w:color w:val="1F4E79"/>
          <w:sz w:val="21"/>
        </w:rPr>
        <w:t xml:space="preserve">Transition  </w:t>
      </w:r>
      <w:r>
        <w:rPr>
          <w:rFonts w:ascii="Arial" w:hAnsi="Arial"/>
          <w:i/>
          <w:color w:val="666666"/>
          <w:sz w:val="21"/>
        </w:rPr>
        <w:t>The next question is what physical resource creates the upper limit in the nominal case.</w:t>
      </w:r>
    </w:p>
    <w:p>
      <w:r>
        <w:br w:type="page"/>
      </w:r>
    </w:p>
    <w:p>
      <w:pPr>
        <w:pStyle w:val="Heading1"/>
        <w:keepNext/>
      </w:pPr>
      <w:r>
        <w:t>Slide 8  Pulse errors create the finite optimum</w:t>
      </w:r>
    </w:p>
    <w:p>
      <w:pPr>
        <w:spacing w:after="160"/>
      </w:pPr>
      <w:r>
        <w:rPr>
          <w:rFonts w:ascii="Arial" w:hAnsi="Arial"/>
          <w:b/>
          <w:color w:val="2F75B5"/>
          <w:sz w:val="21"/>
        </w:rPr>
        <w:t>Target time  1:15</w:t>
      </w:r>
    </w:p>
    <w:p>
      <w:pPr>
        <w:spacing w:after="200"/>
      </w:pPr>
      <w:r>
        <w:rPr>
          <w:rFonts w:ascii="Arial" w:hAnsi="Arial"/>
          <w:b/>
          <w:color w:val="000000"/>
          <w:sz w:val="21"/>
        </w:rPr>
        <w:t xml:space="preserve">Purpose  </w:t>
      </w:r>
      <w:r>
        <w:rPr>
          <w:rFonts w:ascii="Arial" w:hAnsi="Arial"/>
          <w:color w:val="000000"/>
          <w:sz w:val="21"/>
        </w:rPr>
        <w:t>Use resource ablation to identify the mechanism that limits control depth.</w:t>
      </w:r>
    </w:p>
    <w:p>
      <w:pPr>
        <w:pStyle w:val="Heading2"/>
      </w:pPr>
      <w:r>
        <w:t>Suggested speaker notes</w:t>
      </w:r>
    </w:p>
    <w:p>
      <w:pPr>
        <w:spacing w:after="160"/>
      </w:pPr>
      <w:r>
        <w:t>We tested the mechanism by removing one modeled cost at a time. The left panel shows the sensitivity proxy versus depth. The nominal curve decreases at first, reaches its minimum near N equals 20, and then rises as the sequence becomes overdriven.</w:t>
      </w:r>
    </w:p>
    <w:p>
      <w:pPr>
        <w:spacing w:after="160"/>
      </w:pPr>
      <w:r>
        <w:t>When pulse errors are removed, the curve continues to improve and the optimum moves to N equals 128, the largest depth tested. The proxy improves by about 71 percent relative to the nominal optimum. In contrast, removing decoherence or preparation and readout overhead changes the score but leaves the best depth near N equals 20.</w:t>
      </w:r>
    </w:p>
    <w:p>
      <w:pPr>
        <w:spacing w:after="160"/>
      </w:pPr>
      <w:r>
        <w:t>The bar chart summarizes those optima. Within the assumptions of this model, accumulated pulse infidelity is the dominant resource that creates the interior optimum. This does not mean decoherence and overhead are unimportant. It means they do not set the upper-depth boundary for the nominal parameter set.</w:t>
      </w:r>
    </w:p>
    <w:p>
      <w:pPr>
        <w:spacing w:before="120"/>
      </w:pPr>
      <w:r>
        <w:rPr>
          <w:rFonts w:ascii="Arial" w:hAnsi="Arial"/>
          <w:b/>
          <w:i/>
          <w:color w:val="1F4E79"/>
          <w:sz w:val="21"/>
        </w:rPr>
        <w:t xml:space="preserve">Transition  </w:t>
      </w:r>
      <w:r>
        <w:rPr>
          <w:rFonts w:ascii="Arial" w:hAnsi="Arial"/>
          <w:i/>
          <w:color w:val="666666"/>
          <w:sz w:val="21"/>
        </w:rPr>
        <w:t>Having identified the depth limiter, we next test whether the timing rule transfers across frequency.</w:t>
      </w:r>
    </w:p>
    <w:p>
      <w:r>
        <w:br w:type="page"/>
      </w:r>
    </w:p>
    <w:p>
      <w:pPr>
        <w:pStyle w:val="Heading1"/>
        <w:keepNext/>
      </w:pPr>
      <w:r>
        <w:t>Slide 9  Pulse timing selects the sensing frequency</w:t>
      </w:r>
    </w:p>
    <w:p>
      <w:pPr>
        <w:spacing w:after="160"/>
      </w:pPr>
      <w:r>
        <w:rPr>
          <w:rFonts w:ascii="Arial" w:hAnsi="Arial"/>
          <w:b/>
          <w:color w:val="2F75B5"/>
          <w:sz w:val="21"/>
        </w:rPr>
        <w:t>Target time  1:00</w:t>
      </w:r>
    </w:p>
    <w:p>
      <w:pPr>
        <w:spacing w:after="200"/>
      </w:pPr>
      <w:r>
        <w:rPr>
          <w:rFonts w:ascii="Arial" w:hAnsi="Arial"/>
          <w:b/>
          <w:color w:val="000000"/>
          <w:sz w:val="21"/>
        </w:rPr>
        <w:t xml:space="preserve">Purpose  </w:t>
      </w:r>
      <w:r>
        <w:rPr>
          <w:rFonts w:ascii="Arial" w:hAnsi="Arial"/>
          <w:color w:val="000000"/>
          <w:sz w:val="21"/>
        </w:rPr>
        <w:t>Separate the analytic timing rule from the hardware-dependent depth decision.</w:t>
      </w:r>
    </w:p>
    <w:p>
      <w:pPr>
        <w:pStyle w:val="Heading2"/>
      </w:pPr>
      <w:r>
        <w:t>Suggested speaker notes</w:t>
      </w:r>
    </w:p>
    <w:p>
      <w:pPr>
        <w:spacing w:after="160"/>
      </w:pPr>
      <w:r>
        <w:t>The frequency sweep checks that the 200 kilohertz result is not a one-frequency coincidence. Across target frequencies from 50 to 500 kilohertz, the optimized timing follows the primary XY8 resonance, tau equals one over four f, under the timing convention used in this project.</w:t>
      </w:r>
    </w:p>
    <w:p>
      <w:pPr>
        <w:spacing w:after="160"/>
      </w:pPr>
      <w:r>
        <w:t>The left panel shows tau decreasing as the target frequency rises. This part of the recommendation is close to an analytic rule. The right panel shows that depth behaves differently. The optimum begins around N equals 8 at the low-frequency end and rises to N equals 20 over much of the higher-frequency range. The width of the 10 percent window also changes with frequency.</w:t>
      </w:r>
    </w:p>
    <w:p>
      <w:pPr>
        <w:spacing w:after="160"/>
      </w:pPr>
      <w:r>
        <w:t>This gives a useful separation: target frequency sets the pulse timing, while hardware resources and total sequence duration determine how deeply to repeat the XY8 block.</w:t>
      </w:r>
    </w:p>
    <w:p>
      <w:pPr>
        <w:spacing w:before="120"/>
      </w:pPr>
      <w:r>
        <w:rPr>
          <w:rFonts w:ascii="Arial" w:hAnsi="Arial"/>
          <w:b/>
          <w:i/>
          <w:color w:val="1F4E79"/>
          <w:sz w:val="21"/>
        </w:rPr>
        <w:t xml:space="preserve">Transition  </w:t>
      </w:r>
      <w:r>
        <w:rPr>
          <w:rFonts w:ascii="Arial" w:hAnsi="Arial"/>
          <w:i/>
          <w:color w:val="666666"/>
          <w:sz w:val="21"/>
        </w:rPr>
        <w:t>The optimum is useful, but an operator may prefer almost the same performance with fewer pulses.</w:t>
      </w:r>
    </w:p>
    <w:p>
      <w:r>
        <w:br w:type="page"/>
      </w:r>
    </w:p>
    <w:p>
      <w:pPr>
        <w:pStyle w:val="Heading1"/>
        <w:keepNext/>
      </w:pPr>
      <w:r>
        <w:t>Slide 10  A lower pulse alternative</w:t>
      </w:r>
    </w:p>
    <w:p>
      <w:pPr>
        <w:spacing w:after="160"/>
      </w:pPr>
      <w:r>
        <w:rPr>
          <w:rFonts w:ascii="Arial" w:hAnsi="Arial"/>
          <w:b/>
          <w:color w:val="2F75B5"/>
          <w:sz w:val="21"/>
        </w:rPr>
        <w:t>Target time  1:00</w:t>
      </w:r>
    </w:p>
    <w:p>
      <w:pPr>
        <w:spacing w:after="200"/>
      </w:pPr>
      <w:r>
        <w:rPr>
          <w:rFonts w:ascii="Arial" w:hAnsi="Arial"/>
          <w:b/>
          <w:color w:val="000000"/>
          <w:sz w:val="21"/>
        </w:rPr>
        <w:t xml:space="preserve">Purpose  </w:t>
      </w:r>
      <w:r>
        <w:rPr>
          <w:rFonts w:ascii="Arial" w:hAnsi="Arial"/>
          <w:color w:val="000000"/>
          <w:sz w:val="21"/>
        </w:rPr>
        <w:t>Explain the pulse-count versus performance trade-off without relying on Pareto jargon.</w:t>
      </w:r>
    </w:p>
    <w:p>
      <w:pPr>
        <w:pStyle w:val="Heading2"/>
      </w:pPr>
      <w:r>
        <w:t>Suggested speaker notes</w:t>
      </w:r>
    </w:p>
    <w:p>
      <w:pPr>
        <w:spacing w:after="160"/>
      </w:pPr>
      <w:r>
        <w:t>The left panel shows normalized performance near the minimum. N equals 20 gives the lowest modeled score, but the curve is shallow around that point. N equals 16 is only 0.97 percent worse in the model.</w:t>
      </w:r>
    </w:p>
    <w:p>
      <w:pPr>
        <w:spacing w:after="160"/>
      </w:pPr>
      <w:r>
        <w:t>The right panel plots performance penalty against total pulse count. Because one XY8 block contains eight pi pulses, N equals 20 requires 160 pulses, while N equals 16 requires 128. The 16-block setting therefore uses 20 percent fewer pulses for a predicted penalty below 1 percent.</w:t>
      </w:r>
    </w:p>
    <w:p>
      <w:pPr>
        <w:spacing w:after="160"/>
      </w:pPr>
      <w:r>
        <w:t>That makes N equals 16 a practical alternative when microwave duty, calibration burden, or exposure to unmodeled pulse errors matters. N equals 10 uses half as many pulses as N equals 20, but it consumes nearly the full 10 percent performance allowance. The slide makes the cost of additional control explicit rather than treating depth as free.</w:t>
      </w:r>
    </w:p>
    <w:p>
      <w:pPr>
        <w:spacing w:before="120"/>
      </w:pPr>
      <w:r>
        <w:rPr>
          <w:rFonts w:ascii="Arial" w:hAnsi="Arial"/>
          <w:b/>
          <w:i/>
          <w:color w:val="1F4E79"/>
          <w:sz w:val="21"/>
        </w:rPr>
        <w:t xml:space="preserve">Transition  </w:t>
      </w:r>
      <w:r>
        <w:rPr>
          <w:rFonts w:ascii="Arial" w:hAnsi="Arial"/>
          <w:i/>
          <w:color w:val="666666"/>
          <w:sz w:val="21"/>
        </w:rPr>
        <w:t>We then asked whether calibration uncertainty changes this picture.</w:t>
      </w:r>
    </w:p>
    <w:p>
      <w:r>
        <w:br w:type="page"/>
      </w:r>
    </w:p>
    <w:p>
      <w:pPr>
        <w:pStyle w:val="Heading1"/>
        <w:keepNext/>
      </w:pPr>
      <w:r>
        <w:t>Slide 11  Hardware uncertainty broadens the preferred depth</w:t>
      </w:r>
    </w:p>
    <w:p>
      <w:pPr>
        <w:spacing w:after="160"/>
      </w:pPr>
      <w:r>
        <w:rPr>
          <w:rFonts w:ascii="Arial" w:hAnsi="Arial"/>
          <w:b/>
          <w:color w:val="2F75B5"/>
          <w:sz w:val="21"/>
        </w:rPr>
        <w:t>Target time  1:15</w:t>
      </w:r>
    </w:p>
    <w:p>
      <w:pPr>
        <w:spacing w:after="200"/>
      </w:pPr>
      <w:r>
        <w:rPr>
          <w:rFonts w:ascii="Arial" w:hAnsi="Arial"/>
          <w:b/>
          <w:color w:val="000000"/>
          <w:sz w:val="21"/>
        </w:rPr>
        <w:t xml:space="preserve">Purpose  </w:t>
      </w:r>
      <w:r>
        <w:rPr>
          <w:rFonts w:ascii="Arial" w:hAnsi="Arial"/>
          <w:color w:val="000000"/>
          <w:sz w:val="21"/>
        </w:rPr>
        <w:t>Explain what was varied in the Monte Carlo study and what the distribution means.</w:t>
      </w:r>
    </w:p>
    <w:p>
      <w:pPr>
        <w:pStyle w:val="Heading2"/>
      </w:pPr>
      <w:r>
        <w:t>Suggested speaker notes</w:t>
      </w:r>
    </w:p>
    <w:p>
      <w:pPr>
        <w:spacing w:after="160"/>
      </w:pPr>
      <w:r>
        <w:t>We simulated 400 possible hardware conditions around the nominal calibration. Each sample varied pulse fidelity, coherence time and its scaling with depth, the coherence exponent, optical contrast, detected photon rate, and preparation and readout overhead.</w:t>
      </w:r>
    </w:p>
    <w:p>
      <w:pPr>
        <w:spacing w:after="160"/>
      </w:pPr>
      <w:r>
        <w:t>Panel A shows the distribution of the optimum N. The result is broader than one setting: 89 percent of samples select a depth from N equals 12 to 32. N equals 16 is the most frequent individual optimum, appearing in 22.5 percent of the samples. N equals 20 is close behind.</w:t>
      </w:r>
    </w:p>
    <w:p>
      <w:pPr>
        <w:spacing w:after="160"/>
      </w:pPr>
      <w:r>
        <w:t>Panel B relates two important inputs to the selected depth. Higher pulse fidelity and more favourable coherence generally support deeper control, although the other varied parameters create scatter. The message is that calibration uncertainty broadens the preferred region. It does not, by itself, tell us which single setting performs best when the exact hardware state is unknown.</w:t>
      </w:r>
    </w:p>
    <w:p>
      <w:pPr>
        <w:spacing w:before="120"/>
      </w:pPr>
      <w:r>
        <w:rPr>
          <w:rFonts w:ascii="Arial" w:hAnsi="Arial"/>
          <w:b/>
          <w:i/>
          <w:color w:val="1F4E79"/>
          <w:sz w:val="21"/>
        </w:rPr>
        <w:t xml:space="preserve">Transition  </w:t>
      </w:r>
      <w:r>
        <w:rPr>
          <w:rFonts w:ascii="Arial" w:hAnsi="Arial"/>
          <w:i/>
          <w:color w:val="666666"/>
          <w:sz w:val="21"/>
        </w:rPr>
        <w:t>To answer that operational question, we evaluate the penalty from committing to one fixed setting.</w:t>
      </w:r>
    </w:p>
    <w:p>
      <w:r>
        <w:br w:type="page"/>
      </w:r>
    </w:p>
    <w:p>
      <w:pPr>
        <w:pStyle w:val="Heading1"/>
        <w:keepNext/>
      </w:pPr>
      <w:r>
        <w:t>Slide 12  N equals 20 is the most robust fixed choice</w:t>
      </w:r>
    </w:p>
    <w:p>
      <w:pPr>
        <w:spacing w:after="160"/>
      </w:pPr>
      <w:r>
        <w:rPr>
          <w:rFonts w:ascii="Arial" w:hAnsi="Arial"/>
          <w:b/>
          <w:color w:val="2F75B5"/>
          <w:sz w:val="21"/>
        </w:rPr>
        <w:t>Target time  1:00</w:t>
      </w:r>
    </w:p>
    <w:p>
      <w:pPr>
        <w:spacing w:after="200"/>
      </w:pPr>
      <w:r>
        <w:rPr>
          <w:rFonts w:ascii="Arial" w:hAnsi="Arial"/>
          <w:b/>
          <w:color w:val="000000"/>
          <w:sz w:val="21"/>
        </w:rPr>
        <w:t xml:space="preserve">Purpose  </w:t>
      </w:r>
      <w:r>
        <w:rPr>
          <w:rFonts w:ascii="Arial" w:hAnsi="Arial"/>
          <w:color w:val="000000"/>
          <w:sz w:val="21"/>
        </w:rPr>
        <w:t>Explain why the most common sample-wise optimum differs from the best preselected control.</w:t>
      </w:r>
    </w:p>
    <w:p>
      <w:pPr>
        <w:pStyle w:val="Heading2"/>
      </w:pPr>
      <w:r>
        <w:t>Suggested speaker notes</w:t>
      </w:r>
    </w:p>
    <w:p>
      <w:pPr>
        <w:spacing w:after="160"/>
      </w:pPr>
      <w:r>
        <w:t>The most frequently selected optimum is not necessarily the best setting to choose in advance. Frequency counts how often a setting wins, but it does not measure how costly that setting becomes when it loses.</w:t>
      </w:r>
    </w:p>
    <w:p>
      <w:pPr>
        <w:spacing w:after="160"/>
      </w:pPr>
      <w:r>
        <w:t>We therefore calculate regret: the relative penalty from using one fixed control instead of retuning N for each simulated hardware condition. The left panel shows how the worst-case coverage improves as the allowed regret grows. The right panel compares three criteria.</w:t>
      </w:r>
    </w:p>
    <w:p>
      <w:pPr>
        <w:spacing w:after="160"/>
      </w:pPr>
      <w:r>
        <w:t>The nominal optimum, the setting that minimizes mean regret, and the setting that minimizes the 95th-percentile regret all select N equals 20 at tau equals 1.25 microseconds. In at least 95 percent of the 400 samples, its score remains within about 15.4 percent of the individually retuned result. N equals 20 is therefore the strongest fixed recommendation when the exact hardware properties are not yet known.</w:t>
      </w:r>
    </w:p>
    <w:p>
      <w:pPr>
        <w:spacing w:before="120"/>
      </w:pPr>
      <w:r>
        <w:rPr>
          <w:rFonts w:ascii="Arial" w:hAnsi="Arial"/>
          <w:b/>
          <w:i/>
          <w:color w:val="1F4E79"/>
          <w:sz w:val="21"/>
        </w:rPr>
        <w:t xml:space="preserve">Transition  </w:t>
      </w:r>
      <w:r>
        <w:rPr>
          <w:rFonts w:ascii="Arial" w:hAnsi="Arial"/>
          <w:i/>
          <w:color w:val="666666"/>
          <w:sz w:val="21"/>
        </w:rPr>
        <w:t>If hardware properties are measured, we can replace that fixed choice with a direct decision rule.</w:t>
      </w:r>
    </w:p>
    <w:p>
      <w:r>
        <w:br w:type="page"/>
      </w:r>
    </w:p>
    <w:p>
      <w:pPr>
        <w:pStyle w:val="Heading1"/>
        <w:keepNext/>
      </w:pPr>
      <w:r>
        <w:t>Slide 13  Measured hardware quality selects control depth</w:t>
      </w:r>
    </w:p>
    <w:p>
      <w:pPr>
        <w:spacing w:after="160"/>
      </w:pPr>
      <w:r>
        <w:rPr>
          <w:rFonts w:ascii="Arial" w:hAnsi="Arial"/>
          <w:b/>
          <w:color w:val="2F75B5"/>
          <w:sz w:val="21"/>
        </w:rPr>
        <w:t>Target time  1:25</w:t>
      </w:r>
    </w:p>
    <w:p>
      <w:pPr>
        <w:spacing w:after="200"/>
      </w:pPr>
      <w:r>
        <w:rPr>
          <w:rFonts w:ascii="Arial" w:hAnsi="Arial"/>
          <w:b/>
          <w:color w:val="000000"/>
          <w:sz w:val="21"/>
        </w:rPr>
        <w:t xml:space="preserve">Purpose  </w:t>
      </w:r>
      <w:r>
        <w:rPr>
          <w:rFonts w:ascii="Arial" w:hAnsi="Arial"/>
          <w:color w:val="000000"/>
          <w:sz w:val="21"/>
        </w:rPr>
        <w:t>Present the phase diagram as an actionable hardware-to-control recommendation.</w:t>
      </w:r>
    </w:p>
    <w:p>
      <w:pPr>
        <w:pStyle w:val="Heading2"/>
      </w:pPr>
      <w:r>
        <w:t>Suggested speaker notes</w:t>
      </w:r>
    </w:p>
    <w:p>
      <w:pPr>
        <w:spacing w:after="160"/>
      </w:pPr>
      <w:r>
        <w:t>This phase diagram turns the analysis into an initial control recommendation. The inputs are target frequency, measured per-pulse fidelity, and coherence time. Frequency sets the resonant tau. The model then evaluates the calibrated grid and selects a categorical depth region rather than interpolating N as if it were continuous.</w:t>
      </w:r>
    </w:p>
    <w:p>
      <w:pPr>
        <w:spacing w:after="160"/>
      </w:pPr>
      <w:r>
        <w:t>The colours show shallow, moderate, deep, and very deep recommendations. The nominal point, with 99.7 percent fidelity per pulse and a 300 microsecond coherence time, returns tau equals 1.25 microseconds and N equals 20, or 160 pi pulses. It also returns the N equals 10 to 34 near-optimal window and N equals 16 as the lower-pulse alternative.</w:t>
      </w:r>
    </w:p>
    <w:p>
      <w:pPr>
        <w:spacing w:after="160"/>
      </w:pPr>
      <w:r>
        <w:t>The map should be read as a controlled comparison. Pulse fidelity and T2 vary, while contrast, photon rate, overhead, and other coherence parameters remain at their nominal values. Those properties still need measurement for a real device. The recommender also warns when inputs fall outside the calibrated range, when the optimum reaches a search boundary, or when calibration uncertainty spans several depth categories.</w:t>
      </w:r>
    </w:p>
    <w:p>
      <w:pPr>
        <w:spacing w:before="120"/>
      </w:pPr>
      <w:r>
        <w:rPr>
          <w:rFonts w:ascii="Arial" w:hAnsi="Arial"/>
          <w:b/>
          <w:i/>
          <w:color w:val="1F4E79"/>
          <w:sz w:val="21"/>
        </w:rPr>
        <w:t xml:space="preserve">Transition  </w:t>
      </w:r>
      <w:r>
        <w:rPr>
          <w:rFonts w:ascii="Arial" w:hAnsi="Arial"/>
          <w:i/>
          <w:color w:val="666666"/>
          <w:sz w:val="21"/>
        </w:rPr>
        <w:t>A recommendation becomes scientifically useful only when a small experiment can falsify it.</w:t>
      </w:r>
    </w:p>
    <w:p>
      <w:r>
        <w:br w:type="page"/>
      </w:r>
    </w:p>
    <w:p>
      <w:pPr>
        <w:pStyle w:val="Heading1"/>
        <w:keepNext/>
      </w:pPr>
      <w:r>
        <w:t>Slide 14  Seven measurements test the predicted window</w:t>
      </w:r>
    </w:p>
    <w:p>
      <w:pPr>
        <w:spacing w:after="160"/>
      </w:pPr>
      <w:r>
        <w:rPr>
          <w:rFonts w:ascii="Arial" w:hAnsi="Arial"/>
          <w:b/>
          <w:color w:val="2F75B5"/>
          <w:sz w:val="21"/>
        </w:rPr>
        <w:t>Target time  1:20</w:t>
      </w:r>
    </w:p>
    <w:p>
      <w:pPr>
        <w:spacing w:after="200"/>
      </w:pPr>
      <w:r>
        <w:rPr>
          <w:rFonts w:ascii="Arial" w:hAnsi="Arial"/>
          <w:b/>
          <w:color w:val="000000"/>
          <w:sz w:val="21"/>
        </w:rPr>
        <w:t xml:space="preserve">Purpose  </w:t>
      </w:r>
      <w:r>
        <w:rPr>
          <w:rFonts w:ascii="Arial" w:hAnsi="Arial"/>
          <w:color w:val="000000"/>
          <w:sz w:val="21"/>
        </w:rPr>
        <w:t>Explain the prospective validation protocol and its pass or fail logic.</w:t>
      </w:r>
    </w:p>
    <w:p>
      <w:pPr>
        <w:pStyle w:val="Heading2"/>
      </w:pPr>
      <w:r>
        <w:t>Suggested speaker notes</w:t>
      </w:r>
    </w:p>
    <w:p>
      <w:pPr>
        <w:spacing w:after="160"/>
      </w:pPr>
      <w:r>
        <w:t>This is the proposed prospective experiment. The table was generated before measured results are entered, so it defines a genuine test rather than a retrospective fit.</w:t>
      </w:r>
    </w:p>
    <w:p>
      <w:pPr>
        <w:spacing w:after="160"/>
      </w:pPr>
      <w:r>
        <w:t>Six resonant settings sample the depth structure. N equals 8 tests insufficient accumulation. N equals 10 tests the lower boundary of the 10 percent window. N equals 16 is the lower-pulse option. N equals 20 is the primary prediction. N equals 34 tests the upper boundary, and N equals 64 tests the predicted cost of overdriving the sequence. A seventh setting keeps N equals 20 but moves off resonance to test timing selectivity.</w:t>
      </w:r>
    </w:p>
    <w:p>
      <w:pPr>
        <w:spacing w:after="160"/>
      </w:pPr>
      <w:r>
        <w:t>The protocol supports the model if the interior settings outperform N equals 8 and N equals 64, the measured optimum lies between N equals 10 and 34, the off-resonant control performs worse than the resonant N equals 20 setting, and the measurements are consistent with the uncertainty intervals. Repeating N equals 20 estimates measurement variance without adding another control configuration.</w:t>
      </w:r>
    </w:p>
    <w:p>
      <w:pPr>
        <w:spacing w:before="120"/>
      </w:pPr>
      <w:r>
        <w:rPr>
          <w:rFonts w:ascii="Arial" w:hAnsi="Arial"/>
          <w:b/>
          <w:i/>
          <w:color w:val="1F4E79"/>
          <w:sz w:val="21"/>
        </w:rPr>
        <w:t xml:space="preserve">Transition  </w:t>
      </w:r>
      <w:r>
        <w:rPr>
          <w:rFonts w:ascii="Arial" w:hAnsi="Arial"/>
          <w:i/>
          <w:color w:val="666666"/>
          <w:sz w:val="21"/>
        </w:rPr>
        <w:t>The final extension connects this control landscape to temperature, strain, and first-principles material data.</w:t>
      </w:r>
    </w:p>
    <w:p>
      <w:r>
        <w:br w:type="page"/>
      </w:r>
    </w:p>
    <w:p>
      <w:pPr>
        <w:pStyle w:val="Heading1"/>
        <w:keepNext/>
      </w:pPr>
      <w:r>
        <w:t>Slide 15  First principles material data enter the control model</w:t>
      </w:r>
    </w:p>
    <w:p>
      <w:pPr>
        <w:spacing w:after="160"/>
      </w:pPr>
      <w:r>
        <w:rPr>
          <w:rFonts w:ascii="Arial" w:hAnsi="Arial"/>
          <w:b/>
          <w:color w:val="2F75B5"/>
          <w:sz w:val="21"/>
        </w:rPr>
        <w:t>Target time  1:00</w:t>
      </w:r>
    </w:p>
    <w:p>
      <w:pPr>
        <w:spacing w:after="200"/>
      </w:pPr>
      <w:r>
        <w:rPr>
          <w:rFonts w:ascii="Arial" w:hAnsi="Arial"/>
          <w:b/>
          <w:color w:val="000000"/>
          <w:sz w:val="21"/>
        </w:rPr>
        <w:t xml:space="preserve">Purpose  </w:t>
      </w:r>
      <w:r>
        <w:rPr>
          <w:rFonts w:ascii="Arial" w:hAnsi="Arial"/>
          <w:color w:val="000000"/>
          <w:sz w:val="21"/>
        </w:rPr>
        <w:t>Explain how DFT and published temperature laws condition the EDT landscape.</w:t>
      </w:r>
    </w:p>
    <w:p>
      <w:pPr>
        <w:pStyle w:val="Heading2"/>
      </w:pPr>
      <w:r>
        <w:t>Suggested speaker notes</w:t>
      </w:r>
    </w:p>
    <w:p>
      <w:pPr>
        <w:spacing w:after="160"/>
      </w:pPr>
      <w:r>
        <w:t>The diamond host is fixed, but its operating environment changes the parameters seen by the spin. Strain changes the ground-state spin Hamiltonian. Temperature shifts the zero-field splitting and changes spin-lattice relaxation.</w:t>
      </w:r>
    </w:p>
    <w:p>
      <w:pPr>
        <w:spacing w:after="160"/>
      </w:pPr>
      <w:r>
        <w:t>The first block uses six published DFT spin-strain coefficients to map axial, transverse, and shear strain into the NV Hamiltonian. The second block uses an analytical temperature law for the transition frequency, with a first-principles room-temperature slope as an independent cross-check. The third block uses a published ab initio T1 versus temperature curve to constrain a temperature-dependent coherence variant.</w:t>
      </w:r>
    </w:p>
    <w:p>
      <w:pPr>
        <w:spacing w:after="160"/>
      </w:pPr>
      <w:r>
        <w:t>These values were frozen before the environment scan. None was adjusted to recover N equals 20 or to force a particular connected-region result. The workflow is therefore environment to detuning and relaxation, then to eta over tau and N, and finally to the 10 percent set and its connected components.</w:t>
      </w:r>
    </w:p>
    <w:p>
      <w:pPr>
        <w:spacing w:before="120"/>
      </w:pPr>
      <w:r>
        <w:rPr>
          <w:rFonts w:ascii="Arial" w:hAnsi="Arial"/>
          <w:b/>
          <w:i/>
          <w:color w:val="1F4E79"/>
          <w:sz w:val="21"/>
        </w:rPr>
        <w:t xml:space="preserve">Transition  </w:t>
      </w:r>
      <w:r>
        <w:rPr>
          <w:rFonts w:ascii="Arial" w:hAnsi="Arial"/>
          <w:i/>
          <w:color w:val="666666"/>
          <w:sz w:val="21"/>
        </w:rPr>
        <w:t>The next slide shows what those environment-conditioned inputs do to the optimum and to the region topology.</w:t>
      </w:r>
    </w:p>
    <w:p>
      <w:r>
        <w:br w:type="page"/>
      </w:r>
    </w:p>
    <w:p>
      <w:pPr>
        <w:pStyle w:val="Heading1"/>
        <w:keepNext/>
      </w:pPr>
      <w:r>
        <w:t>Slide 16  Environmental detuning moves the optimum but preserves connectivity</w:t>
      </w:r>
    </w:p>
    <w:p>
      <w:pPr>
        <w:spacing w:after="160"/>
      </w:pPr>
      <w:r>
        <w:rPr>
          <w:rFonts w:ascii="Arial" w:hAnsi="Arial"/>
          <w:b/>
          <w:color w:val="2F75B5"/>
          <w:sz w:val="21"/>
        </w:rPr>
        <w:t>Target time  1:20</w:t>
      </w:r>
    </w:p>
    <w:p>
      <w:pPr>
        <w:spacing w:after="200"/>
      </w:pPr>
      <w:r>
        <w:rPr>
          <w:rFonts w:ascii="Arial" w:hAnsi="Arial"/>
          <w:b/>
          <w:color w:val="000000"/>
          <w:sz w:val="21"/>
        </w:rPr>
        <w:t xml:space="preserve">Purpose  </w:t>
      </w:r>
      <w:r>
        <w:rPr>
          <w:rFonts w:ascii="Arial" w:hAnsi="Arial"/>
          <w:color w:val="000000"/>
          <w:sz w:val="21"/>
        </w:rPr>
        <w:t>Distinguish movement of the optimum from a change in connected-region count.</w:t>
      </w:r>
    </w:p>
    <w:p>
      <w:pPr>
        <w:pStyle w:val="Heading2"/>
      </w:pPr>
      <w:r>
        <w:t>Suggested speaker notes</w:t>
      </w:r>
    </w:p>
    <w:p>
      <w:pPr>
        <w:spacing w:after="160"/>
      </w:pPr>
      <w:r>
        <w:t>Read the upper maps first. With a fixed microwave carrier, temperature and strain shift the NV transition away from the calibrated drive. The resulting detuning changes the useful sequence depth. In the illustrated condition at 330 kelvin and plus 20 microstrain, the recommendation moves from N equals 20 to N equals 12.</w:t>
      </w:r>
    </w:p>
    <w:p>
      <w:pPr>
        <w:spacing w:after="160"/>
      </w:pPr>
      <w:r>
        <w:t>The second upper map assumes that the carrier is retracked to the shifted transition. Under that ideal recalibration, N equals 20 remains optimal throughout the displayed axial-strain slice. This comparison separates an intrinsic material response from a correctable frequency-calibration error.</w:t>
      </w:r>
    </w:p>
    <w:p>
      <w:pPr>
        <w:spacing w:after="160"/>
      </w:pPr>
      <w:r>
        <w:t>The lower panels show the near-optimal landscapes. Temperature and strain change the timing width and depth range of the 10 percent region, but the region remains connected. Across 226 selected fine-grid confirmation cases, beta zero remains one and all preregistered numerical checks pass.</w:t>
      </w:r>
    </w:p>
    <w:p>
      <w:pPr>
        <w:spacing w:after="160"/>
      </w:pPr>
      <w:r>
        <w:t>The current conclusion is therefore precise: the tested environment deforms and relocates the EDT operating region before it changes the number of connected regions. A wider environmental range or additional physical mechanisms could still produce splitting, so beta zero equals one is a result for the tested domain rather than a universal claim.</w:t>
      </w:r>
    </w:p>
    <w:p>
      <w:pPr>
        <w:spacing w:before="120"/>
      </w:pPr>
      <w:r>
        <w:rPr>
          <w:rFonts w:ascii="Arial" w:hAnsi="Arial"/>
          <w:b/>
          <w:i/>
          <w:color w:val="1F4E79"/>
          <w:sz w:val="21"/>
        </w:rPr>
        <w:t xml:space="preserve">Transition  </w:t>
      </w:r>
      <w:r>
        <w:rPr>
          <w:rFonts w:ascii="Arial" w:hAnsi="Arial"/>
          <w:i/>
          <w:color w:val="666666"/>
          <w:sz w:val="21"/>
        </w:rPr>
        <w:t>I will close by returning to the operational decision and the experiment needed next.</w:t>
      </w:r>
    </w:p>
    <w:p>
      <w:r>
        <w:br w:type="page"/>
      </w:r>
    </w:p>
    <w:p>
      <w:pPr>
        <w:pStyle w:val="Heading1"/>
        <w:keepNext/>
      </w:pPr>
      <w:r>
        <w:t>Slide 17  EDT makes control depth a testable decision</w:t>
      </w:r>
    </w:p>
    <w:p>
      <w:pPr>
        <w:spacing w:after="160"/>
      </w:pPr>
      <w:r>
        <w:rPr>
          <w:rFonts w:ascii="Arial" w:hAnsi="Arial"/>
          <w:b/>
          <w:color w:val="2F75B5"/>
          <w:sz w:val="21"/>
        </w:rPr>
        <w:t>Target time  0:50</w:t>
      </w:r>
    </w:p>
    <w:p>
      <w:pPr>
        <w:spacing w:after="200"/>
      </w:pPr>
      <w:r>
        <w:rPr>
          <w:rFonts w:ascii="Arial" w:hAnsi="Arial"/>
          <w:b/>
          <w:color w:val="000000"/>
          <w:sz w:val="21"/>
        </w:rPr>
        <w:t xml:space="preserve">Purpose  </w:t>
      </w:r>
      <w:r>
        <w:rPr>
          <w:rFonts w:ascii="Arial" w:hAnsi="Arial"/>
          <w:color w:val="000000"/>
          <w:sz w:val="21"/>
        </w:rPr>
        <w:t>Close with the three defensible conclusions and a concrete next step.</w:t>
      </w:r>
    </w:p>
    <w:p>
      <w:pPr>
        <w:pStyle w:val="Heading2"/>
      </w:pPr>
      <w:r>
        <w:t>Suggested speaker notes</w:t>
      </w:r>
    </w:p>
    <w:p>
      <w:pPr>
        <w:spacing w:after="160"/>
      </w:pPr>
      <w:r>
        <w:t>The central conclusion is practical. In the nominal 200 kilohertz model, the resolved optimum is N equals 20 at tau equals 1.25 microseconds, with a 10 percent operating window from N equals 10 to 34. N equals 16 preserves nearly all predicted performance with 20 percent fewer pulses.</w:t>
      </w:r>
    </w:p>
    <w:p>
      <w:pPr>
        <w:spacing w:after="160"/>
      </w:pPr>
      <w:r>
        <w:t>The ablation identifies accumulated pulse error as the nominal upper-depth limiter. Hardware quality therefore determines how much control remains useful, and the recommendation can move from shallow to very deep sequences.</w:t>
      </w:r>
    </w:p>
    <w:p>
      <w:pPr>
        <w:spacing w:after="160"/>
      </w:pPr>
      <w:r>
        <w:t>EDT adds value by replacing a single optimum with a connected, bounded, and falsifiable operating region. The immediate next step is to run the seven-setting protocol on a calibrated NV platform, update the hardware inputs, and test whether the measured optimum and window agree with the prospective prediction. Thank you.</w:t>
      </w:r>
    </w:p>
    <w:p>
      <w:pPr>
        <w:spacing w:before="120"/>
      </w:pPr>
      <w:r>
        <w:rPr>
          <w:rFonts w:ascii="Arial" w:hAnsi="Arial"/>
          <w:b/>
          <w:i/>
          <w:color w:val="1F4E79"/>
          <w:sz w:val="21"/>
        </w:rPr>
        <w:t xml:space="preserve">Transition  </w:t>
      </w:r>
      <w:r>
        <w:rPr>
          <w:rFonts w:ascii="Arial" w:hAnsi="Arial"/>
          <w:i/>
          <w:color w:val="666666"/>
          <w:sz w:val="21"/>
        </w:rPr>
        <w:t>Invite questions. If asked for the single takeaway: measure the hardware, select the finite window, and test the boundaries before increasing control depth.</w:t>
      </w:r>
    </w:p>
    <w:p>
      <w:r>
        <w:br w:type="page"/>
      </w:r>
    </w:p>
    <w:p>
      <w:pPr>
        <w:pStyle w:val="Heading1"/>
      </w:pPr>
      <w:r>
        <w:t>Presenter reference notes</w:t>
      </w:r>
    </w:p>
    <w:p>
      <w:pPr>
        <w:spacing w:after="160"/>
      </w:pPr>
      <w:r>
        <w:rPr>
          <w:rFonts w:ascii="Arial" w:hAnsi="Arial"/>
          <w:b/>
          <w:color w:val="000000"/>
          <w:sz w:val="21"/>
        </w:rPr>
        <w:t xml:space="preserve">Model output  </w:t>
      </w:r>
      <w:r>
        <w:rPr>
          <w:rFonts w:ascii="Arial" w:hAnsi="Arial"/>
          <w:color w:val="000000"/>
          <w:sz w:val="21"/>
        </w:rPr>
        <w:t>Eta is a relative sensitivity proxy used to rank candidate controls. Lower is better. The study does not report an absolute calibrated magnetic sensitivity.</w:t>
      </w:r>
    </w:p>
    <w:p>
      <w:pPr>
        <w:spacing w:after="160"/>
      </w:pPr>
      <w:r>
        <w:rPr>
          <w:rFonts w:ascii="Arial" w:hAnsi="Arial"/>
          <w:b/>
          <w:color w:val="000000"/>
          <w:sz w:val="21"/>
        </w:rPr>
        <w:t xml:space="preserve">Depth convention  </w:t>
      </w:r>
      <w:r>
        <w:rPr>
          <w:rFonts w:ascii="Arial" w:hAnsi="Arial"/>
          <w:color w:val="000000"/>
          <w:sz w:val="21"/>
        </w:rPr>
        <w:t>N counts complete XY8 blocks. Each block contains eight pi pulses, so the total pulse count is 8N.</w:t>
      </w:r>
    </w:p>
    <w:p>
      <w:pPr>
        <w:spacing w:after="160"/>
      </w:pPr>
      <w:r>
        <w:rPr>
          <w:rFonts w:ascii="Arial" w:hAnsi="Arial"/>
          <w:b/>
          <w:color w:val="000000"/>
          <w:sz w:val="21"/>
        </w:rPr>
        <w:t xml:space="preserve">Timing convention  </w:t>
      </w:r>
      <w:r>
        <w:rPr>
          <w:rFonts w:ascii="Arial" w:hAnsi="Arial"/>
          <w:color w:val="000000"/>
          <w:sz w:val="21"/>
        </w:rPr>
        <w:t>Tau is half the centre-to-centre interpulse gap in this project. At 200 kilohertz, tau equals 1.25 microseconds and the full gap is approximately 2.5 microseconds.</w:t>
      </w:r>
    </w:p>
    <w:p>
      <w:pPr>
        <w:spacing w:after="160"/>
      </w:pPr>
      <w:r>
        <w:rPr>
          <w:rFonts w:ascii="Arial" w:hAnsi="Arial"/>
          <w:b/>
          <w:color w:val="000000"/>
          <w:sz w:val="21"/>
        </w:rPr>
        <w:t xml:space="preserve">Operating window  </w:t>
      </w:r>
      <w:r>
        <w:rPr>
          <w:rFonts w:ascii="Arial" w:hAnsi="Arial"/>
          <w:color w:val="000000"/>
          <w:sz w:val="21"/>
        </w:rPr>
        <w:t>The 10 percent window contains settings whose eta is no more than 10 percent above the minimum score.</w:t>
      </w:r>
    </w:p>
    <w:p>
      <w:pPr>
        <w:spacing w:after="160"/>
      </w:pPr>
      <w:r>
        <w:rPr>
          <w:rFonts w:ascii="Arial" w:hAnsi="Arial"/>
          <w:b/>
          <w:color w:val="000000"/>
          <w:sz w:val="21"/>
        </w:rPr>
        <w:t xml:space="preserve">Topology  </w:t>
      </w:r>
      <w:r>
        <w:rPr>
          <w:rFonts w:ascii="Arial" w:hAnsi="Arial"/>
          <w:color w:val="000000"/>
          <w:sz w:val="21"/>
        </w:rPr>
        <w:t>Beta zero is the number of connected components in the near-optimal set over timing and depth. It does not refer to a topological material or a topological quantum phase.</w:t>
      </w:r>
    </w:p>
    <w:p>
      <w:pPr>
        <w:spacing w:after="160"/>
      </w:pPr>
      <w:r>
        <w:rPr>
          <w:rFonts w:ascii="Arial" w:hAnsi="Arial"/>
          <w:b/>
          <w:color w:val="000000"/>
          <w:sz w:val="21"/>
        </w:rPr>
        <w:t xml:space="preserve">Entanglement boundary  </w:t>
      </w:r>
      <w:r>
        <w:rPr>
          <w:rFonts w:ascii="Arial" w:hAnsi="Arial"/>
          <w:color w:val="000000"/>
          <w:sz w:val="21"/>
        </w:rPr>
        <w:t>The current model contains one NV spin and demonstrates the dynamic-topology component of EDT. Entanglement remains a future multi-spin extension.</w:t>
      </w:r>
    </w:p>
    <w:p>
      <w:pPr>
        <w:spacing w:after="160"/>
      </w:pPr>
      <w:r>
        <w:rPr>
          <w:rFonts w:ascii="Arial" w:hAnsi="Arial"/>
          <w:b/>
          <w:color w:val="000000"/>
          <w:sz w:val="21"/>
        </w:rPr>
        <w:t xml:space="preserve">Nominal recommendation  </w:t>
      </w:r>
      <w:r>
        <w:rPr>
          <w:rFonts w:ascii="Arial" w:hAnsi="Arial"/>
          <w:color w:val="000000"/>
          <w:sz w:val="21"/>
        </w:rPr>
        <w:t>At 200 kilohertz, the model selects tau equals 1.25 microseconds and N equals 20, corresponding to 160 pi pulses. The 10 percent window spans N equals 10 to 34.</w:t>
      </w:r>
    </w:p>
    <w:p>
      <w:pPr>
        <w:spacing w:after="160"/>
      </w:pPr>
      <w:r>
        <w:rPr>
          <w:rFonts w:ascii="Arial" w:hAnsi="Arial"/>
          <w:b/>
          <w:color w:val="000000"/>
          <w:sz w:val="21"/>
        </w:rPr>
        <w:t xml:space="preserve">Practical alternative  </w:t>
      </w:r>
      <w:r>
        <w:rPr>
          <w:rFonts w:ascii="Arial" w:hAnsi="Arial"/>
          <w:color w:val="000000"/>
          <w:sz w:val="21"/>
        </w:rPr>
        <w:t>N equals 16 uses 128 pi pulses, 20 percent fewer than N equals 20, for a predicted score penalty of 0.97 percent.</w:t>
      </w:r>
    </w:p>
    <w:p>
      <w:pPr>
        <w:spacing w:after="160"/>
      </w:pPr>
      <w:r>
        <w:rPr>
          <w:rFonts w:ascii="Arial" w:hAnsi="Arial"/>
          <w:b/>
          <w:color w:val="000000"/>
          <w:sz w:val="21"/>
        </w:rPr>
        <w:t xml:space="preserve">Mechanism  </w:t>
      </w:r>
      <w:r>
        <w:rPr>
          <w:rFonts w:ascii="Arial" w:hAnsi="Arial"/>
          <w:color w:val="000000"/>
          <w:sz w:val="21"/>
        </w:rPr>
        <w:t>The resource ablation indicates that accumulated pulse infidelity sets the nominal upper-depth limit. Removing pulse error pushes the optimum to the tested boundary.</w:t>
      </w:r>
    </w:p>
    <w:p>
      <w:pPr>
        <w:spacing w:after="160"/>
      </w:pPr>
      <w:r>
        <w:rPr>
          <w:rFonts w:ascii="Arial" w:hAnsi="Arial"/>
          <w:b/>
          <w:color w:val="000000"/>
          <w:sz w:val="21"/>
        </w:rPr>
        <w:t xml:space="preserve">Validation status  </w:t>
      </w:r>
      <w:r>
        <w:rPr>
          <w:rFonts w:ascii="Arial" w:hAnsi="Arial"/>
          <w:color w:val="000000"/>
          <w:sz w:val="21"/>
        </w:rPr>
        <w:t>The results are literature-anchored model predictions. The seven-setting protocol defines the prospective experiment required to confirm or challenge them.</w:t>
      </w:r>
    </w:p>
    <w:p>
      <w:pPr>
        <w:pStyle w:val="Heading2"/>
      </w:pPr>
      <w:r>
        <w:t>Selected source reminders</w:t>
      </w:r>
    </w:p>
    <w:p>
      <w:pPr>
        <w:pStyle w:val="ListBullet"/>
      </w:pPr>
      <w:r>
        <w:t>SBQuantum, Magnetic Navigation, sbquantum.com.</w:t>
      </w:r>
    </w:p>
    <w:p>
      <w:pPr>
        <w:pStyle w:val="ListBullet"/>
      </w:pPr>
      <w:r>
        <w:t>Udvarhelyi et al., Physical Review B 98, 075201, 2018, spin-strain coefficients.</w:t>
      </w:r>
    </w:p>
    <w:p>
      <w:pPr>
        <w:pStyle w:val="ListBullet"/>
      </w:pPr>
      <w:r>
        <w:t>Cambria et al., analytical temperature dependence of NV zero-field splitting.</w:t>
      </w:r>
    </w:p>
    <w:p>
      <w:pPr>
        <w:pStyle w:val="ListBullet"/>
      </w:pPr>
      <w:r>
        <w:t>Tang et al., first-principles temperature slope for the NV transition.</w:t>
      </w:r>
    </w:p>
    <w:p>
      <w:pPr>
        <w:pStyle w:val="ListBullet"/>
      </w:pPr>
      <w:r>
        <w:t>Mondal et al., first-principles spin-phonon relaxation and T1 temperature dependence.</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19AC1"/>
        <w:sz w:val="16"/>
      </w:rPr>
      <w:t>NATO UNCLASSIFIED RELEASABLE TO STEP Nations and Singapore</w:t>
    </w:r>
  </w:p>
  <w:p>
    <w:pPr>
      <w:jc w:val="right"/>
    </w:pPr>
    <w:r>
      <w:rPr>
        <w:rFonts w:ascii="Arial" w:hAnsi="Arial"/>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F4E79"/>
        <w:sz w:val="18"/>
      </w:rPr>
      <w:t>NATO STO presentation speaker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40"/>
      <w:outlineLvl w:val="0"/>
    </w:pPr>
    <w:rPr>
      <w:rFonts w:asciiTheme="majorHAnsi" w:eastAsiaTheme="majorEastAsia" w:hAnsiTheme="majorHAnsi" w:cstheme="majorBidi" w:ascii="Garamond" w:hAnsi="Garamond"/>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Garamond" w:hAnsi="Garamond"/>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