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Marriott International · organisation knowledge base</w:t>
      </w:r>
    </w:p>
    <w:p>
      <w:pPr>
        <w:spacing w:after="160"/>
      </w:pPr>
      <w:r>
        <w:rPr>
          <w:rFonts w:ascii="Arial" w:cs="Arial" w:eastAsia="Arial" w:hAnsi="Arial"/>
          <w:i/>
          <w:iCs/>
          <w:color w:val="777777"/>
          <w:sz w:val="18"/>
          <w:szCs w:val="18"/>
        </w:rPr>
        <w:t xml:space="preserve">Springpod LEARN · the research pack behind a storyboard · V1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Organisation, as it writes its own name</w:t>
            </w:r>
          </w:p>
        </w:tc>
        <w:tc>
          <w:tcPr>
            <w:tcW w:type="dxa" w:w="7200"/>
            <w:tcMar>
              <w:top w:type="dxa" w:w="60"/>
              <w:left w:type="dxa" w:w="100"/>
              <w:bottom w:type="dxa" w:w="60"/>
              <w:right w:type="dxa" w:w="100"/>
            </w:tcMar>
          </w:tcPr>
          <w:p>
            <w:pPr>
              <w:spacing w:after="40"/>
            </w:pPr>
            <w:r>
              <w:t xml:space="preserve">Marriott International</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The entity the learner meets</w:t>
            </w:r>
          </w:p>
        </w:tc>
        <w:tc>
          <w:tcPr>
            <w:tcW w:type="dxa" w:w="7200"/>
            <w:tcMar>
              <w:top w:type="dxa" w:w="60"/>
              <w:left w:type="dxa" w:w="100"/>
              <w:bottom w:type="dxa" w:w="60"/>
              <w:right w:type="dxa" w:w="100"/>
            </w:tcMar>
          </w:tcPr>
          <w:p>
            <w:pPr>
              <w:spacing w:after="40"/>
            </w:pPr>
            <w:r>
              <w:t xml:space="preserve">Marriott International, Inc. (Nasdaq: MAR), the hotel manager and franchisor headquartered in Bethesda, Maryland. Not the owner of the building: the 1993 split separated the operator from the property company.</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Role, as the organisation names it</w:t>
            </w:r>
          </w:p>
        </w:tc>
        <w:tc>
          <w:tcPr>
            <w:tcW w:type="dxa" w:w="7200"/>
            <w:tcMar>
              <w:top w:type="dxa" w:w="60"/>
              <w:left w:type="dxa" w:w="100"/>
              <w:bottom w:type="dxa" w:w="60"/>
              <w:right w:type="dxa" w:w="100"/>
            </w:tcMar>
          </w:tcPr>
          <w:p>
            <w:pPr>
              <w:spacing w:after="40"/>
            </w:pPr>
            <w:r>
              <w:t xml:space="preserve">Executive Sous Chef</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Compiled by</w:t>
            </w:r>
          </w:p>
        </w:tc>
        <w:tc>
          <w:tcPr>
            <w:tcW w:type="dxa" w:w="7200"/>
            <w:tcMar>
              <w:top w:type="dxa" w:w="60"/>
              <w:left w:type="dxa" w:w="100"/>
              <w:bottom w:type="dxa" w:w="60"/>
              <w:right w:type="dxa" w:w="100"/>
            </w:tcMar>
          </w:tcPr>
          <w:p>
            <w:pPr>
              <w:spacing w:after="40"/>
            </w:pPr>
            <w:r>
              <w:t xml:space="preserve">Springpod research</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Started · last updated</w:t>
            </w:r>
          </w:p>
        </w:tc>
        <w:tc>
          <w:tcPr>
            <w:tcW w:type="dxa" w:w="7200"/>
            <w:tcMar>
              <w:top w:type="dxa" w:w="60"/>
              <w:left w:type="dxa" w:w="100"/>
              <w:bottom w:type="dxa" w:w="60"/>
              <w:right w:type="dxa" w:w="100"/>
            </w:tcMar>
          </w:tcPr>
          <w:p>
            <w:pPr>
              <w:spacing w:after="40"/>
            </w:pPr>
            <w:r>
              <w:t xml:space="preserve">2026-09-22 · 2026-09-22</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Who at the organisation checks facts</w:t>
            </w:r>
          </w:p>
        </w:tc>
        <w:tc>
          <w:tcPr>
            <w:tcW w:type="dxa" w:w="7200"/>
            <w:tcMar>
              <w:top w:type="dxa" w:w="60"/>
              <w:left w:type="dxa" w:w="100"/>
              <w:bottom w:type="dxa" w:w="60"/>
              <w:right w:type="dxa" w:w="100"/>
            </w:tcMar>
          </w:tcPr>
          <w:p>
            <w:pPr>
              <w:spacing w:after="40"/>
            </w:pPr>
            <w:r>
              <w:t xml:space="preserve">Not yet known — section 8, question 1</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How this pack works</w:t>
      </w:r>
    </w:p>
    <w:p>
      <w:pPr>
        <w:spacing w:after="100"/>
      </w:pPr>
      <w:r>
        <w:rPr>
          <w:rFonts w:ascii="Arial" w:cs="Arial" w:eastAsia="Arial" w:hAnsi="Arial"/>
          <w:sz w:val="20"/>
          <w:szCs w:val="20"/>
        </w:rPr>
        <w:t xml:space="preserve">One place for everything known about the organisation and the role before a storyboard is written, so that every fact the chapter states can be traced to where it came from. The model reads this document first; the designer keeps it beside the storyboard; the storyboard's last page, "For the organisation to confirm", is written from the register at the end of it.</w:t>
      </w:r>
    </w:p>
    <w:p>
      <w:pPr>
        <w:spacing w:after="100"/>
      </w:pPr>
      <w:r>
        <w:rPr>
          <w:rFonts w:ascii="Arial" w:cs="Arial" w:eastAsia="Arial" w:hAnsi="Arial"/>
          <w:sz w:val="20"/>
          <w:szCs w:val="20"/>
        </w:rPr>
        <w:t xml:space="preserve">Everything in the pack sits in one of four tiers. The rule: tier 1 wins every conflict, tiers 2 and 3 fill the gaps, and nothing at tier 4 is ever presented as the organisation's 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100"/>
      </w:tblGrid>
      <w:tr>
        <w:trPr>
          <w:tblHeader/>
        </w:trPr>
        <w:tc>
          <w:tcPr>
            <w:tcW w:type="dxa" w:w="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Tier</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Name</w:t>
            </w:r>
          </w:p>
        </w:tc>
        <w:tc>
          <w:tcPr>
            <w:tcW w:type="dxa" w:w="71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Supplied by the organisation</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What the organisation gave us or said in the interview. True by definition; the first source for everything.</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organisation's public material</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Its own web pages, reports, adverts, press kit. True, but not yet confirmed for this chapter.</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profession</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apprenticeship standard, the professional body, the National Careers Service, the industry's standards and guidance.</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Illustrative</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Invented for the case: the incident, its numbers, the people, the applications. Plausible, never the organisation's own.</w:t>
            </w:r>
          </w:p>
        </w:tc>
      </w:tr>
    </w:tbl>
    <w:p>
      <w:pPr>
        <w:spacing w:after="60"/>
      </w:pPr>
      <w:r>
        <w:rPr>
          <w:rFonts w:ascii="Arial" w:cs="Arial" w:eastAsia="Arial" w:hAnsi="Arial"/>
          <w:sz w:val="20"/>
          <w:szCs w:val="20"/>
        </w:rPr>
        <w:t xml:space="preserve"/>
      </w:r>
    </w:p>
    <w:p>
      <w:pPr>
        <w:spacing w:after="100"/>
      </w:pPr>
      <w:r>
        <w:rPr>
          <w:rFonts w:ascii="Arial" w:cs="Arial" w:eastAsia="Arial" w:hAnsi="Arial"/>
          <w:sz w:val="20"/>
          <w:szCs w:val="20"/>
        </w:rPr>
        <w:t xml:space="preserve">The folder beside this document has six numbered parts in the order of the sections below. Supplied by the organisation is the last folder and the first source of truth. Name every file with its date and where it came from (2026-09-17_careers-page_apprenticeships.pdf), because pages change and adverts vanish.</w:t>
      </w:r>
    </w:p>
    <w:p>
      <w:pPr>
        <w:spacing w:after="100"/>
      </w:pPr>
      <w:r>
        <w:rPr>
          <w:rFonts w:ascii="Arial" w:cs="Arial" w:eastAsia="Arial" w:hAnsi="Arial"/>
          <w:sz w:val="20"/>
          <w:szCs w:val="20"/>
        </w:rPr>
        <w:t xml:space="preserve">Every fact you intend to use goes into the fact register (section 7) with its tier, its source and its date, as you find it, not afterwards. Write questions for the organisation (section 8) as they arise; the answers come back at tier 1. Where a section asks for a source, give the file name in the folder or the address of the page, and the date you read it.</w:t>
      </w:r>
    </w:p>
    <w:p>
      <w:pPr>
        <w:pStyle w:val="Heading2"/>
        <w:spacing w:after="80" w:before="480"/>
      </w:pPr>
      <w:r>
        <w:rPr>
          <w:rFonts w:ascii="Arial" w:cs="Arial" w:eastAsia="Arial" w:hAnsi="Arial"/>
          <w:b/>
          <w:bCs/>
          <w:sz w:val="28"/>
          <w:szCs w:val="28"/>
        </w:rPr>
        <w:t xml:space="preserve">1. The organisation</w:t>
      </w:r>
    </w:p>
    <w:p>
      <w:pPr>
        <w:pStyle w:val="Heading3"/>
      </w:pPr>
      <w:r>
        <w:t xml:space="preserve">Designer's note</w:t>
      </w:r>
    </w:p>
    <w:p>
      <w:r>
        <w:t xml:space="preserve">The organisation folder is strongest on Marriott’s public scale, story and values. It is thinnest on the exact UK hotel entity and property ownership context, which should be confirmed before storyboard wording is fixed.</w:t>
      </w:r>
    </w:p>
    <w:p>
      <w:r>
        <w:rPr>
          <w:i/>
        </w:rPr>
        <w:t xml:space="preserve">Springpod research · 2026-09-22</w:t>
      </w:r>
    </w:p>
    <w:p>
      <w:pPr>
        <w:spacing w:after="160"/>
      </w:pPr>
      <w:r>
        <w:rPr>
          <w:rFonts w:ascii="Arial" w:cs="Arial" w:eastAsia="Arial" w:hAnsi="Arial"/>
          <w:i/>
          <w:iCs/>
          <w:color w:val="777777"/>
          <w:sz w:val="18"/>
          <w:szCs w:val="18"/>
        </w:rPr>
        <w:t xml:space="preserve">Folder 01-organisation · tier 2, unless the supplied by the organisation it</w:t>
      </w:r>
    </w:p>
    <w:p>
      <w:pPr>
        <w:spacing w:after="80"/>
      </w:pPr>
      <w:r>
        <w:t xml:space="preserve">In one paragraph — Marriott International, Inc. is a global hospitality company headquartered in Bethesda, Maryland, which operates a portfolio of brands across segments including luxury, premium, select, midscale, and extended stay. · Tier 2 · Marriott International — full year 2025 results; Marriott International — Wikipedia · 2026-09-22</w:t>
      </w:r>
    </w:p>
    <w:p>
      <w:pPr>
        <w:spacing w:after="80"/>
      </w:pPr>
      <w:r>
        <w:rPr>
          <w:rFonts w:ascii="Arial" w:cs="Arial" w:eastAsia="Arial" w:hAnsi="Arial"/>
          <w:b/>
          <w:bCs/>
          <w:color w:val="555555"/>
          <w:sz w:val="20"/>
          <w:szCs w:val="20"/>
        </w:rPr>
        <w:t xml:space="preserve">The entity — </w:t>
      </w:r>
      <w:r>
        <w:rPr>
          <w:rFonts w:ascii="Arial" w:cs="Arial" w:eastAsia="Arial" w:hAnsi="Arial"/>
          <w:b w:val="false"/>
          <w:bCs w:val="false"/>
          <w:i/>
          <w:iCs/>
          <w:color w:val="8A8A8A"/>
          <w:sz w:val="20"/>
          <w:szCs w:val="20"/>
        </w:rPr>
        <w:t xml:space="preserve">[Which company the learner meets: the group, the division, the trading name; who owns it. Check that the Wikipedia page and the careers page describe the same one.]</w:t>
      </w:r>
    </w:p>
    <w:p>
      <w:pPr>
        <w:spacing w:after="80"/>
      </w:pPr>
      <w:r>
        <w:rPr>
          <w:rFonts w:ascii="Arial" w:cs="Arial" w:eastAsia="Arial" w:hAnsi="Arial"/>
          <w:b/>
          <w:bCs/>
          <w:color w:val="555555"/>
          <w:sz w:val="20"/>
          <w:szCs w:val="20"/>
        </w:rPr>
        <w:t xml:space="preserve">Sites — </w:t>
      </w:r>
      <w:r>
        <w:rPr>
          <w:rFonts w:ascii="Arial" w:cs="Arial" w:eastAsia="Arial" w:hAnsi="Arial"/>
          <w:b w:val="false"/>
          <w:bCs w:val="false"/>
          <w:i/>
          <w:iCs/>
          <w:color w:val="8A8A8A"/>
          <w:sz w:val="20"/>
          <w:szCs w:val="20"/>
        </w:rPr>
        <w:t xml:space="preserve">[The sites the role works at, and which one the chapter is set at. What each site does. Source.]</w:t>
      </w:r>
    </w:p>
    <w:p>
      <w:pPr>
        <w:spacing w:after="80"/>
      </w:pPr>
      <w:r>
        <w:t xml:space="preserve">Products and services — The organisation licenses lodging products including hotels, residences, timeshares, yachts, and outdoor products, supported by the Marriott Bonvoy travel platform. · Tier 2 · Marriott International — full year 2025 results; Marriott International — full year 2025 results · 2026-09-22</w:t>
      </w:r>
    </w:p>
    <w:p>
      <w:pPr>
        <w:spacing w:after="80"/>
      </w:pPr>
      <w:r>
        <w:rPr>
          <w:rFonts w:ascii="Arial" w:cs="Arial" w:eastAsia="Arial" w:hAnsi="Arial"/>
          <w:b/>
          <w:bCs/>
          <w:color w:val="555555"/>
          <w:sz w:val="20"/>
          <w:szCs w:val="20"/>
        </w:rPr>
        <w:t xml:space="preserve">Size and numbers — </w:t>
      </w:r>
      <w:r>
        <w:rPr>
          <w:rFonts w:ascii="Arial" w:cs="Arial" w:eastAsia="Arial" w:hAnsi="Arial"/>
          <w:b w:val="false"/>
          <w:bCs w:val="false"/>
          <w:i/>
          <w:iCs/>
          <w:color w:val="8A8A8A"/>
          <w:sz w:val="20"/>
          <w:szCs w:val="20"/>
        </w:rPr>
        <w:t xml:space="preserve">[Headcount, turnover, fleet, output, apprentices taken on: only with a source and a date.]</w:t>
      </w:r>
    </w:p>
    <w:p>
      <w:pPr>
        <w:spacing w:after="80"/>
      </w:pPr>
      <w:r>
        <w:t xml:space="preserve">How it talks about itself — Marriott presents its career path as a journey to 'begin, belong, and become', guided by core values such as putting people first and pursuing excellence. · Tier 2 · About; Our-Story · 2026-09-22</w:t>
      </w:r>
    </w:p>
    <w:p>
      <w:pPr>
        <w:spacing w:after="80"/>
      </w:pPr>
      <w:r>
        <w:rPr>
          <w:rFonts w:ascii="Arial" w:cs="Arial" w:eastAsia="Arial" w:hAnsi="Arial"/>
          <w:b/>
          <w:bCs/>
          <w:color w:val="555555"/>
          <w:sz w:val="20"/>
          <w:szCs w:val="20"/>
        </w:rPr>
        <w:t xml:space="preserve">Recent news — </w:t>
      </w:r>
      <w:r>
        <w:rPr>
          <w:rFonts w:ascii="Arial" w:cs="Arial" w:eastAsia="Arial" w:hAnsi="Arial"/>
          <w:b w:val="false"/>
          <w:bCs w:val="false"/>
          <w:i/>
          <w:iCs/>
          <w:color w:val="8A8A8A"/>
          <w:sz w:val="20"/>
          <w:szCs w:val="20"/>
        </w:rPr>
        <w:t xml:space="preserve">[Two or three items with dates: a new site, a contract, a change of ownership, an award.]</w:t>
      </w:r>
    </w:p>
    <w:p>
      <w:pPr>
        <w:spacing w:after="60" w:before="160"/>
      </w:pPr>
      <w:r>
        <w:rPr>
          <w:rFonts w:ascii="Arial" w:cs="Arial" w:eastAsia="Arial" w:hAnsi="Arial"/>
          <w:b/>
          <w:bCs/>
          <w:sz w:val="20"/>
          <w:szCs w:val="20"/>
        </w:rPr>
        <w:t xml:space="preserv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gridCol w:w="1800"/>
      </w:tblGrid>
      <w:tr>
        <w:trPr>
          <w:tblHeader/>
        </w:trPr>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gave us</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Page or file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 read</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Wikipedia</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[Basic facts, history, ownership, the logo]</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organisation's website: about, careers, apprenticeships, sites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says about itself and the role]</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[Files in 01-organisation]</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Annual report or strategy page</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[Numbers and direction, for The stakes]</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or address]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News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business is doing now]</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[Files or addresses]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[Another source]</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r>
    </w:tbl>
    <w:p>
      <w:pPr>
        <w:spacing w:after="60"/>
      </w:pPr>
      <w:r>
        <w:rPr>
          <w:rFonts w:ascii="Arial" w:cs="Arial" w:eastAsia="Arial" w:hAnsi="Arial"/>
          <w:sz w:val="20"/>
          <w:szCs w:val="20"/>
        </w:rPr>
        <w:t xml:space="preserve"/>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Marriott International — full year 2025 results</w:t>
            </w:r>
          </w:p>
        </w:tc>
        <w:tc>
          <w:tcPr>
            <w:tcW w:type="auto" w:w="0"/>
          </w:tcPr>
          <w:p>
            <w:r>
              <w:t xml:space="preserve">2</w:t>
            </w:r>
          </w:p>
        </w:tc>
        <w:tc>
          <w:tcPr>
            <w:tcW w:type="auto" w:w="0"/>
          </w:tcPr>
          <w:p>
            <w:r>
              <w:t xml:space="preserve">In one paragraph; Products, services and customers</w:t>
            </w:r>
          </w:p>
        </w:tc>
        <w:tc>
          <w:tcPr>
            <w:tcW w:type="auto" w:w="0"/>
          </w:tcPr>
          <w:p>
            <w:r>
              <w:t xml:space="preserve">2026-09-22</w:t>
            </w:r>
          </w:p>
        </w:tc>
      </w:tr>
      <w:tr>
        <w:tc>
          <w:tcPr>
            <w:tcW w:type="auto" w:w="0"/>
          </w:tcPr>
          <w:p>
            <w:r>
              <w:t xml:space="preserve">Marriott International — Wikipedia</w:t>
            </w:r>
          </w:p>
        </w:tc>
        <w:tc>
          <w:tcPr>
            <w:tcW w:type="auto" w:w="0"/>
          </w:tcPr>
          <w:p>
            <w:r>
              <w:t xml:space="preserve">3</w:t>
            </w:r>
          </w:p>
        </w:tc>
        <w:tc>
          <w:tcPr>
            <w:tcW w:type="auto" w:w="0"/>
          </w:tcPr>
          <w:p>
            <w:r>
              <w:t xml:space="preserve">In one paragraph</w:t>
            </w:r>
          </w:p>
        </w:tc>
        <w:tc>
          <w:tcPr>
            <w:tcW w:type="auto" w:w="0"/>
          </w:tcPr>
          <w:p>
            <w:r>
              <w:t xml:space="preserve">2026-09-22</w:t>
            </w:r>
          </w:p>
        </w:tc>
      </w:tr>
      <w:tr>
        <w:tc>
          <w:tcPr>
            <w:tcW w:type="auto" w:w="0"/>
          </w:tcPr>
          <w:p>
            <w:r>
              <w:t xml:space="preserve">About</w:t>
            </w:r>
          </w:p>
        </w:tc>
        <w:tc>
          <w:tcPr>
            <w:tcW w:type="auto" w:w="0"/>
          </w:tcPr>
          <w:p>
            <w:r>
              <w:t xml:space="preserve">2</w:t>
            </w:r>
          </w:p>
        </w:tc>
        <w:tc>
          <w:tcPr>
            <w:tcW w:type="auto" w:w="0"/>
          </w:tcPr>
          <w:p>
            <w:r>
              <w:t xml:space="preserve">How it talks about itself</w:t>
            </w:r>
          </w:p>
        </w:tc>
        <w:tc>
          <w:tcPr>
            <w:tcW w:type="auto" w:w="0"/>
          </w:tcPr>
          <w:p>
            <w:r>
              <w:t xml:space="preserve">2026-09-22</w:t>
            </w:r>
          </w:p>
        </w:tc>
      </w:tr>
      <w:tr>
        <w:tc>
          <w:tcPr>
            <w:tcW w:type="auto" w:w="0"/>
          </w:tcPr>
          <w:p>
            <w:r>
              <w:t xml:space="preserve">Early-Careers-at-Marriott</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Marriott-International-Careers</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Marriott-is-Growing-Forward-—</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Marriott</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Our-Story</w:t>
            </w:r>
          </w:p>
        </w:tc>
        <w:tc>
          <w:tcPr>
            <w:tcW w:type="auto" w:w="0"/>
          </w:tcPr>
          <w:p>
            <w:r>
              <w:t xml:space="preserve">2</w:t>
            </w:r>
          </w:p>
        </w:tc>
        <w:tc>
          <w:tcPr>
            <w:tcW w:type="auto" w:w="0"/>
          </w:tcPr>
          <w:p>
            <w:r>
              <w:t xml:space="preserve">How it talks about itself</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2. The role</w:t>
      </w:r>
    </w:p>
    <w:p>
      <w:pPr>
        <w:pStyle w:val="Heading3"/>
      </w:pPr>
      <w:r>
        <w:t xml:space="preserve">Designer's note</w:t>
      </w:r>
    </w:p>
    <w:p>
      <w:r>
        <w:t xml:space="preserve">The role folder gives strong professional standards and adjacent Marriott adverts. The exact Executive Sous Chef title and its boundaries at the learner’s hotel remain the main confirmation gap.</w:t>
      </w:r>
    </w:p>
    <w:p>
      <w:r>
        <w:rPr>
          <w:i/>
        </w:rPr>
        <w:t xml:space="preserve">Springpod research · 2026-09-22</w:t>
      </w:r>
    </w:p>
    <w:p>
      <w:pPr>
        <w:spacing w:after="160"/>
      </w:pPr>
      <w:r>
        <w:rPr>
          <w:rFonts w:ascii="Arial" w:cs="Arial" w:eastAsia="Arial" w:hAnsi="Arial"/>
          <w:i/>
          <w:iCs/>
          <w:color w:val="777777"/>
          <w:sz w:val="18"/>
          <w:szCs w:val="18"/>
        </w:rPr>
        <w:t xml:space="preserve">Folder 02-role · tier 3, or tier 2 where the organisation's own pages say it</w:t>
      </w:r>
    </w:p>
    <w:p>
      <w:pPr>
        <w:spacing w:after="80"/>
      </w:pPr>
      <w:r>
        <w:rPr>
          <w:rFonts w:ascii="Arial" w:cs="Arial" w:eastAsia="Arial" w:hAnsi="Arial"/>
          <w:b/>
          <w:bCs/>
          <w:color w:val="555555"/>
          <w:sz w:val="20"/>
          <w:szCs w:val="20"/>
        </w:rPr>
        <w:t xml:space="preserve">The title — </w:t>
      </w:r>
      <w:r>
        <w:rPr>
          <w:rFonts w:ascii="Arial" w:cs="Arial" w:eastAsia="Arial" w:hAnsi="Arial"/>
          <w:b w:val="false"/>
          <w:bCs w:val="false"/>
          <w:i/>
          <w:iCs/>
          <w:color w:val="8A8A8A"/>
          <w:sz w:val="20"/>
          <w:szCs w:val="20"/>
        </w:rPr>
        <w:t xml:space="preserve">[As the organisation writes it, and any other name the same job goes by elsewhere.]</w:t>
      </w:r>
    </w:p>
    <w:p>
      <w:pPr>
        <w:spacing w:after="80"/>
      </w:pPr>
      <w:r>
        <w:t xml:space="preserve">The apprenticeship standard — The Senior culinary chef level 4 apprenticeship is the vocational standard mapping to senior kitchen leadership roles such as Executive Chef or Head Chef. · Tier 3 · Senior culinary chef — apprenticeship standard ST0864 · 2026-09-22</w:t>
      </w:r>
    </w:p>
    <w:p>
      <w:pPr>
        <w:spacing w:after="60" w:before="160"/>
      </w:pPr>
      <w:r>
        <w:rPr>
          <w:rFonts w:ascii="Arial" w:cs="Arial" w:eastAsia="Arial" w:hAnsi="Arial"/>
          <w:b/>
          <w:bCs/>
          <w:sz w:val="20"/>
          <w:szCs w:val="20"/>
        </w:rPr>
        <w:t xml:space="preserve">The duties, from the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400"/>
      </w:tblGrid>
      <w:tr>
        <w:trPr>
          <w:tblHeader/>
        </w:trPr>
        <w:tc>
          <w:tcPr>
            <w:tcW w:type="dxa" w:w="3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Duty</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means on this job</w:t>
            </w:r>
          </w:p>
        </w:tc>
        <w:tc>
          <w:tcPr>
            <w:tcW w:type="dxa" w:w="3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Which part of the chapter it could feed</w:t>
            </w:r>
          </w:p>
        </w:tc>
      </w:tr>
      <w:tr>
        <w:trPr>
          <w:tblHeader w:val="false"/>
        </w:trPr>
        <w:tc>
          <w:tcPr>
            <w:tcW w:type="dxa" w:w="3400"/>
            <w:tcMar>
              <w:top w:type="dxa" w:w="60"/>
              <w:left w:type="dxa" w:w="100"/>
              <w:bottom w:type="dxa" w:w="60"/>
              <w:right w:type="dxa" w:w="100"/>
            </w:tcMar>
          </w:tcPr>
          <w:p>
            <w:pPr>
              <w:spacing w:after="40"/>
            </w:pPr>
            <w:r>
              <w:t xml:space="preserve">Compliance and Safety Management</w:t>
            </w:r>
          </w:p>
        </w:tc>
        <w:tc>
          <w:tcPr>
            <w:tcW w:type="dxa" w:w="3600"/>
            <w:tcMar>
              <w:top w:type="dxa" w:w="60"/>
              <w:left w:type="dxa" w:w="100"/>
              <w:bottom w:type="dxa" w:w="60"/>
              <w:right w:type="dxa" w:w="100"/>
            </w:tcMar>
          </w:tcPr>
          <w:p>
            <w:pPr>
              <w:spacing w:after="40"/>
            </w:pPr>
            <w:r>
              <w:t xml:space="preserve">Keeping the kitchen clean and following food safety laws.</w:t>
            </w:r>
          </w:p>
        </w:tc>
        <w:tc>
          <w:tcPr>
            <w:tcW w:type="dxa" w:w="3400"/>
            <w:tcMar>
              <w:top w:type="dxa" w:w="60"/>
              <w:left w:type="dxa" w:w="100"/>
              <w:bottom w:type="dxa" w:w="60"/>
              <w:right w:type="dxa" w:w="100"/>
            </w:tcMar>
          </w:tcPr>
          <w:p>
            <w:pPr>
              <w:spacing w:after="40"/>
            </w:pPr>
            <w:r>
              <w:t xml:space="preserve">matters</w:t>
            </w:r>
          </w:p>
        </w:tc>
      </w:tr>
      <w:tr>
        <w:trPr>
          <w:tblHeader w:val="false"/>
        </w:trPr>
        <w:tc>
          <w:tcPr>
            <w:tcW w:type="dxa" w:w="3400"/>
            <w:tcMar>
              <w:top w:type="dxa" w:w="60"/>
              <w:left w:type="dxa" w:w="100"/>
              <w:bottom w:type="dxa" w:w="60"/>
              <w:right w:type="dxa" w:w="100"/>
            </w:tcMar>
          </w:tcPr>
          <w:p>
            <w:pPr>
              <w:spacing w:after="40"/>
            </w:pPr>
            <w:r>
              <w:t xml:space="preserve">Financial and Inventory Control</w:t>
            </w:r>
          </w:p>
        </w:tc>
        <w:tc>
          <w:tcPr>
            <w:tcW w:type="dxa" w:w="3600"/>
            <w:tcMar>
              <w:top w:type="dxa" w:w="60"/>
              <w:left w:type="dxa" w:w="100"/>
              <w:bottom w:type="dxa" w:w="60"/>
              <w:right w:type="dxa" w:w="100"/>
            </w:tcMar>
          </w:tcPr>
          <w:p>
            <w:pPr>
              <w:spacing w:after="40"/>
            </w:pPr>
            <w:r>
              <w:t xml:space="preserve">Ordering food and supplies while staying within the budget.</w:t>
            </w:r>
          </w:p>
        </w:tc>
        <w:tc>
          <w:tcPr>
            <w:tcW w:type="dxa" w:w="3400"/>
            <w:tcMar>
              <w:top w:type="dxa" w:w="60"/>
              <w:left w:type="dxa" w:w="100"/>
              <w:bottom w:type="dxa" w:w="60"/>
              <w:right w:type="dxa" w:w="100"/>
            </w:tcMar>
          </w:tcPr>
          <w:p>
            <w:pPr>
              <w:spacing w:after="40"/>
            </w:pPr>
            <w:r>
              <w:t xml:space="preserve">matters</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National Careers Service profile — </w:t>
      </w:r>
      <w:r>
        <w:rPr>
          <w:rFonts w:ascii="Arial" w:cs="Arial" w:eastAsia="Arial" w:hAnsi="Arial"/>
          <w:b w:val="false"/>
          <w:bCs w:val="false"/>
          <w:i/>
          <w:iCs/>
          <w:color w:val="8A8A8A"/>
          <w:sz w:val="20"/>
          <w:szCs w:val="20"/>
        </w:rPr>
        <w:t xml:space="preserve">[Pay range, hours, entry routes, what the day-to-day list says, with the date you read it.]</w:t>
      </w:r>
    </w:p>
    <w:p>
      <w:pPr>
        <w:spacing w:after="80"/>
      </w:pPr>
      <w:r>
        <w:rPr>
          <w:rFonts w:ascii="Arial" w:cs="Arial" w:eastAsia="Arial" w:hAnsi="Arial"/>
          <w:b/>
          <w:bCs/>
          <w:color w:val="555555"/>
          <w:sz w:val="20"/>
          <w:szCs w:val="20"/>
        </w:rPr>
        <w:t xml:space="preserve">The professional body — </w:t>
      </w:r>
      <w:r>
        <w:rPr>
          <w:rFonts w:ascii="Arial" w:cs="Arial" w:eastAsia="Arial" w:hAnsi="Arial"/>
          <w:b w:val="false"/>
          <w:bCs w:val="false"/>
          <w:i/>
          <w:iCs/>
          <w:color w:val="8A8A8A"/>
          <w:sz w:val="20"/>
          <w:szCs w:val="20"/>
        </w:rPr>
        <w:t xml:space="preserve">[Which one; the registration route (EngTech, IEng, RN, or the profession's own); what its competence framework says the role must be able to do.]</w:t>
      </w:r>
    </w:p>
    <w:p>
      <w:pPr>
        <w:spacing w:after="60" w:before="160"/>
      </w:pPr>
      <w:r>
        <w:rPr>
          <w:rFonts w:ascii="Arial" w:cs="Arial" w:eastAsia="Arial" w:hAnsi="Arial"/>
          <w:b/>
          <w:bCs/>
          <w:sz w:val="20"/>
          <w:szCs w:val="20"/>
        </w:rPr>
        <w:t xml:space="preserve">Job adverts and apprenticeship listings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2600"/>
        <w:gridCol w:w="1400"/>
        <w:gridCol w:w="1200"/>
      </w:tblGrid>
      <w:tr>
        <w:trPr>
          <w:tblHeader/>
        </w:trPr>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Advert</w:t>
            </w:r>
          </w:p>
        </w:tc>
        <w:tc>
          <w:tcPr>
            <w:tcW w:type="dxa" w:w="1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Site and team</w:t>
            </w:r>
          </w:p>
        </w:tc>
        <w:tc>
          <w:tcPr>
            <w:tcW w:type="dxa" w:w="15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Shift pattern</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Systems and equipment named</w:t>
            </w:r>
          </w:p>
        </w:tc>
        <w:tc>
          <w:tcPr>
            <w:tcW w:type="dxa" w:w="1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Saved as</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A day in the role — </w:t>
      </w:r>
      <w:r>
        <w:rPr>
          <w:rFonts w:ascii="Arial" w:cs="Arial" w:eastAsia="Arial" w:hAnsi="Arial"/>
          <w:b w:val="false"/>
          <w:bCs w:val="false"/>
          <w:i/>
          <w:iCs/>
          <w:color w:val="8A8A8A"/>
          <w:sz w:val="20"/>
          <w:szCs w:val="20"/>
        </w:rPr>
        <w:t xml:space="preserve">[What the adverts, blogs and "day in the life" posts say the day looks like: the moments in order, the people around the role, what they check, where they eat lunch. Source for each.]</w:t>
      </w:r>
    </w:p>
    <w:p>
      <w:pPr>
        <w:spacing w:after="60" w:before="160"/>
      </w:pPr>
      <w:r>
        <w:rPr>
          <w:rFonts w:ascii="Arial" w:cs="Arial" w:eastAsia="Arial" w:hAnsi="Arial"/>
          <w:b/>
          <w:bCs/>
          <w:sz w:val="20"/>
          <w:szCs w:val="20"/>
        </w:rPr>
        <w:t xml:space="preserve">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400"/>
      </w:tblGrid>
      <w:tr>
        <w:trPr>
          <w:tblHeader/>
        </w:trPr>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Term</w:t>
            </w:r>
          </w:p>
        </w:tc>
        <w:tc>
          <w:tcPr>
            <w:tcW w:type="dxa" w:w="5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means, plainly</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r>
      <w:tr>
        <w:trPr>
          <w:tblHeader w:val="false"/>
        </w:trPr>
        <w:tc>
          <w:tcPr>
            <w:tcW w:type="dxa" w:w="2600"/>
            <w:tcMar>
              <w:top w:type="dxa" w:w="60"/>
              <w:left w:type="dxa" w:w="100"/>
              <w:bottom w:type="dxa" w:w="60"/>
              <w:right w:type="dxa" w:w="100"/>
            </w:tcMar>
          </w:tcPr>
          <w:p>
            <w:pPr>
              <w:spacing w:after="40"/>
            </w:pPr>
            <w:r>
              <w:t xml:space="preserve">The Pass</w:t>
            </w:r>
          </w:p>
        </w:tc>
        <w:tc>
          <w:tcPr>
            <w:tcW w:type="dxa" w:w="5400"/>
            <w:tcMar>
              <w:top w:type="dxa" w:w="60"/>
              <w:left w:type="dxa" w:w="100"/>
              <w:bottom w:type="dxa" w:w="60"/>
              <w:right w:type="dxa" w:w="100"/>
            </w:tcMar>
          </w:tcPr>
          <w:p>
            <w:pPr>
              <w:spacing w:after="40"/>
            </w:pPr>
            <w:r>
              <w:t xml:space="preserve">The area where chefs plate up dishes and front-of-house staff collect them for service.</w:t>
            </w:r>
          </w:p>
        </w:tc>
        <w:tc>
          <w:tcPr>
            <w:tcW w:type="dxa" w:w="2400"/>
            <w:tcMar>
              <w:top w:type="dxa" w:w="60"/>
              <w:left w:type="dxa" w:w="100"/>
              <w:bottom w:type="dxa" w:w="60"/>
              <w:right w:type="dxa" w:w="100"/>
            </w:tcMar>
          </w:tcPr>
          <w:p>
            <w:pPr>
              <w:spacing w:after="40"/>
            </w:pPr>
            <w:r>
              <w:t xml:space="preserve">2</w:t>
            </w:r>
          </w:p>
        </w:tc>
      </w:tr>
    </w:tbl>
    <w:p>
      <w:pPr>
        <w:spacing w:after="60"/>
      </w:pPr>
      <w:r>
        <w:rPr>
          <w:rFonts w:ascii="Arial" w:cs="Arial" w:eastAsia="Arial" w:hAnsi="Arial"/>
          <w:sz w:val="20"/>
          <w:szCs w:val="20"/>
        </w:rPr>
        <w:t xml:space="preserve"/>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Craft Guild of Chefs — the professional body</w:t>
            </w:r>
          </w:p>
        </w:tc>
        <w:tc>
          <w:tcPr>
            <w:tcW w:type="auto" w:w="0"/>
          </w:tcPr>
          <w:p>
            <w:r>
              <w:t xml:space="preserve">3</w:t>
            </w:r>
          </w:p>
        </w:tc>
        <w:tc>
          <w:tcPr>
            <w:tcW w:type="auto" w:w="0"/>
          </w:tcPr>
          <w:p>
            <w:r>
              <w:t xml:space="preserve">No facts yet</w:t>
            </w:r>
          </w:p>
        </w:tc>
        <w:tc>
          <w:tcPr>
            <w:tcW w:type="auto" w:w="0"/>
          </w:tcPr>
          <w:p>
            <w:r>
              <w:t xml:space="preserve">2026-09-22</w:t>
            </w:r>
          </w:p>
        </w:tc>
      </w:tr>
      <w:tr>
        <w:tc>
          <w:tcPr>
            <w:tcW w:type="auto" w:w="0"/>
          </w:tcPr>
          <w:p>
            <w:r>
              <w:t xml:space="preserve">Chef de partie — apprenticeship standard ST0227</w:t>
            </w:r>
          </w:p>
        </w:tc>
        <w:tc>
          <w:tcPr>
            <w:tcW w:type="auto" w:w="0"/>
          </w:tcPr>
          <w:p>
            <w:r>
              <w:t xml:space="preserve">3</w:t>
            </w:r>
          </w:p>
        </w:tc>
        <w:tc>
          <w:tcPr>
            <w:tcW w:type="auto" w:w="0"/>
          </w:tcPr>
          <w:p>
            <w:r>
              <w:t xml:space="preserve">No facts yet</w:t>
            </w:r>
          </w:p>
        </w:tc>
        <w:tc>
          <w:tcPr>
            <w:tcW w:type="auto" w:w="0"/>
          </w:tcPr>
          <w:p>
            <w:r>
              <w:t xml:space="preserve">2026-09-22</w:t>
            </w:r>
          </w:p>
        </w:tc>
      </w:tr>
      <w:tr>
        <w:tc>
          <w:tcPr>
            <w:tcW w:type="auto" w:w="0"/>
          </w:tcPr>
          <w:p>
            <w:r>
              <w:t xml:space="preserve">Senior culinary chef — apprenticeship standard ST0864</w:t>
            </w:r>
          </w:p>
        </w:tc>
        <w:tc>
          <w:tcPr>
            <w:tcW w:type="auto" w:w="0"/>
          </w:tcPr>
          <w:p>
            <w:r>
              <w:t xml:space="preserve">3</w:t>
            </w:r>
          </w:p>
        </w:tc>
        <w:tc>
          <w:tcPr>
            <w:tcW w:type="auto" w:w="0"/>
          </w:tcPr>
          <w:p>
            <w:r>
              <w:t xml:space="preserve">Apprenticeship standard</w:t>
            </w:r>
          </w:p>
        </w:tc>
        <w:tc>
          <w:tcPr>
            <w:tcW w:type="auto" w:w="0"/>
          </w:tcPr>
          <w:p>
            <w:r>
              <w:t xml:space="preserve">2026-09-22</w:t>
            </w:r>
          </w:p>
        </w:tc>
      </w:tr>
      <w:tr>
        <w:tc>
          <w:tcPr>
            <w:tcW w:type="auto" w:w="0"/>
          </w:tcPr>
          <w:p>
            <w:r>
              <w:t xml:space="preserve">Chef — National Careers Service job profile</w:t>
            </w:r>
          </w:p>
        </w:tc>
        <w:tc>
          <w:tcPr>
            <w:tcW w:type="auto" w:w="0"/>
          </w:tcPr>
          <w:p>
            <w:r>
              <w:t xml:space="preserve">3</w:t>
            </w:r>
          </w:p>
        </w:tc>
        <w:tc>
          <w:tcPr>
            <w:tcW w:type="auto" w:w="0"/>
          </w:tcPr>
          <w:p>
            <w:r>
              <w:t xml:space="preserve">No facts yet</w:t>
            </w:r>
          </w:p>
        </w:tc>
        <w:tc>
          <w:tcPr>
            <w:tcW w:type="auto" w:w="0"/>
          </w:tcPr>
          <w:p>
            <w:r>
              <w:t xml:space="preserve">2026-09-22</w:t>
            </w:r>
          </w:p>
        </w:tc>
      </w:tr>
      <w:tr>
        <w:tc>
          <w:tcPr>
            <w:tcW w:type="auto" w:w="0"/>
          </w:tcPr>
          <w:p>
            <w:r>
              <w:t xml:space="preserve">A-Day-with-the-Sous-Chef-at-One-of</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Executive Sous Chef (art'otel): Career Simulation Scripts</w:t>
            </w:r>
          </w:p>
        </w:tc>
        <w:tc>
          <w:tcPr>
            <w:tcW w:type="auto" w:w="0"/>
          </w:tcPr>
          <w:p>
            <w:r>
              <w:t xml:space="preserve">4</w:t>
            </w:r>
          </w:p>
        </w:tc>
        <w:tc>
          <w:tcPr>
            <w:tcW w:type="auto" w:w="0"/>
          </w:tcPr>
          <w:p>
            <w:r>
              <w:t xml:space="preserve">No facts yet</w:t>
            </w:r>
          </w:p>
        </w:tc>
        <w:tc>
          <w:tcPr>
            <w:tcW w:type="auto" w:w="0"/>
          </w:tcPr>
          <w:p>
            <w:r>
              <w:t xml:space="preserve">2026-09-22</w:t>
            </w:r>
          </w:p>
        </w:tc>
      </w:tr>
      <w:tr>
        <w:tc>
          <w:tcPr>
            <w:tcW w:type="auto" w:w="0"/>
          </w:tcPr>
          <w:p>
            <w:r>
              <w:t xml:space="preserve">Hotel-Sous-Chef</w:t>
            </w:r>
          </w:p>
        </w:tc>
        <w:tc>
          <w:tcPr>
            <w:tcW w:type="auto" w:w="0"/>
          </w:tcPr>
          <w:p>
            <w:r>
              <w:t xml:space="preserve">2</w:t>
            </w:r>
          </w:p>
        </w:tc>
        <w:tc>
          <w:tcPr>
            <w:tcW w:type="auto" w:w="0"/>
          </w:tcPr>
          <w:p>
            <w:r>
              <w:t xml:space="preserve">Duties; Vocabulary</w:t>
            </w:r>
          </w:p>
        </w:tc>
        <w:tc>
          <w:tcPr>
            <w:tcW w:type="auto" w:w="0"/>
          </w:tcPr>
          <w:p>
            <w:r>
              <w:t xml:space="preserve">2026-09-22</w:t>
            </w:r>
          </w:p>
        </w:tc>
      </w:tr>
      <w:tr>
        <w:tc>
          <w:tcPr>
            <w:tcW w:type="auto" w:w="0"/>
          </w:tcPr>
          <w:p>
            <w:r>
              <w:t xml:space="preserve">Junior-Sous-Chef-London-Marriott</w:t>
            </w:r>
          </w:p>
        </w:tc>
        <w:tc>
          <w:tcPr>
            <w:tcW w:type="auto" w:w="0"/>
          </w:tcPr>
          <w:p>
            <w:r>
              <w:t xml:space="preserve">2</w:t>
            </w:r>
          </w:p>
        </w:tc>
        <w:tc>
          <w:tcPr>
            <w:tcW w:type="auto" w:w="0"/>
          </w:tcPr>
          <w:p>
            <w:r>
              <w:t xml:space="preserve">Duties</w:t>
            </w:r>
          </w:p>
        </w:tc>
        <w:tc>
          <w:tcPr>
            <w:tcW w:type="auto" w:w="0"/>
          </w:tcPr>
          <w:p>
            <w:r>
              <w:t xml:space="preserve">2026-09-22</w:t>
            </w:r>
          </w:p>
        </w:tc>
      </w:tr>
      <w:tr>
        <w:tc>
          <w:tcPr>
            <w:tcW w:type="auto" w:w="0"/>
          </w:tcPr>
          <w:p>
            <w:r>
              <w:t xml:space="preserve">Senior-Sous-Chef,-Pre-Opening-The</w:t>
            </w:r>
          </w:p>
        </w:tc>
        <w:tc>
          <w:tcPr>
            <w:tcW w:type="auto" w:w="0"/>
          </w:tcPr>
          <w:p>
            <w:r>
              <w:t xml:space="preserve">2</w:t>
            </w:r>
          </w:p>
        </w:tc>
        <w:tc>
          <w:tcPr>
            <w:tcW w:type="auto" w:w="0"/>
          </w:tcPr>
          <w:p>
            <w:r>
              <w:t xml:space="preserve">Duties; Vocabulary</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3. Case material</w:t>
      </w:r>
    </w:p>
    <w:p>
      <w:pPr>
        <w:spacing w:after="160"/>
      </w:pPr>
      <w:r>
        <w:rPr>
          <w:rFonts w:ascii="Arial" w:cs="Arial" w:eastAsia="Arial" w:hAnsi="Arial"/>
          <w:i/>
          <w:iCs/>
          <w:color w:val="777777"/>
          <w:sz w:val="18"/>
          <w:szCs w:val="18"/>
        </w:rPr>
        <w:t xml:space="preserve">Folder 03-case-material · tier 3</w:t>
      </w:r>
    </w:p>
    <w:p>
      <w:pPr>
        <w:spacing w:after="80"/>
      </w:pPr>
      <w:r>
        <w:rPr>
          <w:rFonts w:ascii="Arial" w:cs="Arial" w:eastAsia="Arial" w:hAnsi="Arial"/>
          <w:b/>
          <w:bCs/>
          <w:color w:val="555555"/>
          <w:sz w:val="20"/>
          <w:szCs w:val="20"/>
        </w:rPr>
        <w:t xml:space="preserve">The routine — </w:t>
      </w:r>
      <w:r>
        <w:rPr>
          <w:rFonts w:ascii="Arial" w:cs="Arial" w:eastAsia="Arial" w:hAnsi="Arial"/>
          <w:b w:val="false"/>
          <w:bCs w:val="false"/>
          <w:i/>
          <w:iCs/>
          <w:color w:val="8A8A8A"/>
          <w:sz w:val="20"/>
          <w:szCs w:val="20"/>
        </w:rPr>
        <w:t xml:space="preserve">[The one routine the story could sit inside: a test, a shift, a round, a build, a visit. How often it runs, how long it takes, who is there. Source.]</w:t>
      </w:r>
    </w:p>
    <w:p>
      <w:pPr>
        <w:spacing w:after="60" w:before="160"/>
      </w:pPr>
      <w:r>
        <w:rPr>
          <w:rFonts w:ascii="Arial" w:cs="Arial" w:eastAsia="Arial" w:hAnsi="Arial"/>
          <w:b/>
          <w:bCs/>
          <w:sz w:val="20"/>
          <w:szCs w:val="20"/>
        </w:rPr>
        <w:t xml:space="preserve">What is measured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3200"/>
      </w:tblGrid>
      <w:tr>
        <w:trPr>
          <w:tblHeader/>
        </w:trPr>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Reading</w:t>
            </w:r>
          </w:p>
        </w:tc>
        <w:tc>
          <w:tcPr>
            <w:tcW w:type="dxa" w:w="1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Unit</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Review line</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Limit or stop</w:t>
            </w:r>
          </w:p>
        </w:tc>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the number comes from</w:t>
            </w:r>
          </w:p>
        </w:tc>
      </w:tr>
      <w:tr>
        <w:trPr>
          <w:tblHeader w:val="false"/>
        </w:trPr>
        <w:tc>
          <w:tcPr>
            <w:tcW w:type="dxa" w:w="2200"/>
            <w:tcMar>
              <w:top w:type="dxa" w:w="60"/>
              <w:left w:type="dxa" w:w="100"/>
              <w:bottom w:type="dxa" w:w="60"/>
              <w:right w:type="dxa" w:w="100"/>
            </w:tcMar>
          </w:tcPr>
          <w:p>
            <w:pPr>
              <w:spacing w:after="40"/>
            </w:pPr>
            <w:r>
              <w:t xml:space="preserve">Industry practice often sets refrigerators at 5°C or lower to prevent breaching the legal 8°C limit when doors are opened.</w:t>
            </w:r>
          </w:p>
        </w:tc>
        <w:tc>
          <w:tcPr>
            <w:tcW w:type="dxa" w:w="1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3200"/>
            <w:tcMar>
              <w:top w:type="dxa" w:w="60"/>
              <w:left w:type="dxa" w:w="100"/>
              <w:bottom w:type="dxa" w:w="60"/>
              <w:right w:type="dxa" w:w="100"/>
            </w:tcMar>
          </w:tcPr>
          <w:p>
            <w:pPr>
              <w:spacing w:after="40"/>
            </w:pPr>
            <w:r>
              <w:t xml:space="preserve"/>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Equipment and instruments — </w:t>
      </w:r>
      <w:r>
        <w:rPr>
          <w:rFonts w:ascii="Arial" w:cs="Arial" w:eastAsia="Arial" w:hAnsi="Arial"/>
          <w:b w:val="false"/>
          <w:bCs w:val="false"/>
          <w:i/>
          <w:iCs/>
          <w:color w:val="8A8A8A"/>
          <w:sz w:val="20"/>
          <w:szCs w:val="20"/>
        </w:rPr>
        <w:t xml:space="preserve">[What the role reads, uses and maintains, with the manufacturer's public manual or datasheet if there is one.]</w:t>
      </w:r>
    </w:p>
    <w:p>
      <w:pPr>
        <w:spacing w:after="60" w:before="160"/>
      </w:pPr>
      <w:r>
        <w:rPr>
          <w:rFonts w:ascii="Arial" w:cs="Arial" w:eastAsia="Arial" w:hAnsi="Arial"/>
          <w:b/>
          <w:bCs/>
          <w:sz w:val="20"/>
          <w:szCs w:val="20"/>
        </w:rPr>
        <w:t xml:space="preserve">What typically goes wrong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600"/>
        <w:gridCol w:w="2200"/>
      </w:tblGrid>
      <w:tr>
        <w:trPr>
          <w:tblHeader/>
        </w:trPr>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Problem</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Likely causes</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How it is checked</w:t>
            </w:r>
          </w:p>
        </w:tc>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bl>
    <w:p>
      <w:pPr>
        <w:spacing w:after="60"/>
      </w:pPr>
      <w:r>
        <w:rPr>
          <w:rFonts w:ascii="Arial" w:cs="Arial" w:eastAsia="Arial" w:hAnsi="Arial"/>
          <w:sz w:val="20"/>
          <w:szCs w:val="20"/>
        </w:rPr>
        <w:t xml:space="preserve"/>
      </w:r>
    </w:p>
    <w:p>
      <w:pPr>
        <w:spacing w:after="80"/>
      </w:pPr>
      <w:r>
        <w:t xml:space="preserve">Safety rules that shape a stop — UK law requires 14 specific allergens to be clearly communicated for all food sold, including non-prepacked items. · Tier 3 · The 14 regulated allergens · 2026-09-22</w:t>
      </w:r>
    </w:p>
    <w:p>
      <w:pPr>
        <w:spacing w:after="80"/>
      </w:pPr>
      <w:r>
        <w:rPr>
          <w:rFonts w:ascii="Arial" w:cs="Arial" w:eastAsia="Arial" w:hAnsi="Arial"/>
          <w:b/>
          <w:bCs/>
          <w:color w:val="555555"/>
          <w:sz w:val="20"/>
          <w:szCs w:val="20"/>
        </w:rPr>
        <w:t xml:space="preserve">The people in the room — </w:t>
      </w:r>
      <w:r>
        <w:rPr>
          <w:rFonts w:ascii="Arial" w:cs="Arial" w:eastAsia="Arial" w:hAnsi="Arial"/>
          <w:b w:val="false"/>
          <w:bCs w:val="false"/>
          <w:i/>
          <w:iCs/>
          <w:color w:val="8A8A8A"/>
          <w:sz w:val="20"/>
          <w:szCs w:val="20"/>
        </w:rPr>
        <w:t xml:space="preserve">[The kinds of expertise around the role: who owns which measurement, who signs off, who the role reports to.]</w:t>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Temperature control law — the review lines and limits</w:t>
            </w:r>
          </w:p>
        </w:tc>
        <w:tc>
          <w:tcPr>
            <w:tcW w:type="auto" w:w="0"/>
          </w:tcPr>
          <w:p>
            <w:r>
              <w:t xml:space="preserve">3</w:t>
            </w:r>
          </w:p>
        </w:tc>
        <w:tc>
          <w:tcPr>
            <w:tcW w:type="auto" w:w="0"/>
          </w:tcPr>
          <w:p>
            <w:r>
              <w:t xml:space="preserve">Measurements and limits</w:t>
            </w:r>
          </w:p>
        </w:tc>
        <w:tc>
          <w:tcPr>
            <w:tcW w:type="auto" w:w="0"/>
          </w:tcPr>
          <w:p>
            <w:r>
              <w:t xml:space="preserve">2026-09-22</w:t>
            </w:r>
          </w:p>
        </w:tc>
      </w:tr>
      <w:tr>
        <w:tc>
          <w:tcPr>
            <w:tcW w:type="auto" w:w="0"/>
          </w:tcPr>
          <w:p>
            <w:r>
              <w:t xml:space="preserve">The 14 regulated allergens</w:t>
            </w:r>
          </w:p>
        </w:tc>
        <w:tc>
          <w:tcPr>
            <w:tcW w:type="auto" w:w="0"/>
          </w:tcPr>
          <w:p>
            <w:r>
              <w:t xml:space="preserve">3</w:t>
            </w:r>
          </w:p>
        </w:tc>
        <w:tc>
          <w:tcPr>
            <w:tcW w:type="auto" w:w="0"/>
          </w:tcPr>
          <w:p>
            <w:r>
              <w:t xml:space="preserve">Safety rules people actually follow</w:t>
            </w:r>
          </w:p>
        </w:tc>
        <w:tc>
          <w:tcPr>
            <w:tcW w:type="auto" w:w="0"/>
          </w:tcPr>
          <w:p>
            <w:r>
              <w:t xml:space="preserve">2026-09-22</w:t>
            </w:r>
          </w:p>
        </w:tc>
      </w:tr>
      <w:tr>
        <w:tc>
          <w:tcPr>
            <w:tcW w:type="auto" w:w="0"/>
          </w:tcPr>
          <w:p>
            <w:r>
              <w:t xml:space="preserve">Food Hygiene Rating Scheme — what an inspection actually looks at</w:t>
            </w:r>
          </w:p>
        </w:tc>
        <w:tc>
          <w:tcPr>
            <w:tcW w:type="auto" w:w="0"/>
          </w:tcPr>
          <w:p>
            <w:r>
              <w:t xml:space="preserve">3</w:t>
            </w:r>
          </w:p>
        </w:tc>
        <w:tc>
          <w:tcPr>
            <w:tcW w:type="auto" w:w="0"/>
          </w:tcPr>
          <w:p>
            <w:r>
              <w:t xml:space="preserve">No facts yet</w:t>
            </w:r>
          </w:p>
        </w:tc>
        <w:tc>
          <w:tcPr>
            <w:tcW w:type="auto" w:w="0"/>
          </w:tcPr>
          <w:p>
            <w:r>
              <w:t xml:space="preserve">2026-09-22</w:t>
            </w:r>
          </w:p>
        </w:tc>
      </w:tr>
      <w:tr>
        <w:tc>
          <w:tcPr>
            <w:tcW w:type="auto" w:w="0"/>
          </w:tcPr>
          <w:p>
            <w:r>
              <w:t xml:space="preserve">Food waste in UK hospitality and food service</w:t>
            </w:r>
          </w:p>
        </w:tc>
        <w:tc>
          <w:tcPr>
            <w:tcW w:type="auto" w:w="0"/>
          </w:tcPr>
          <w:p>
            <w:r>
              <w:t xml:space="preserve">3</w:t>
            </w:r>
          </w:p>
        </w:tc>
        <w:tc>
          <w:tcPr>
            <w:tcW w:type="auto" w:w="0"/>
          </w:tcPr>
          <w:p>
            <w:r>
              <w:t xml:space="preserve">No facts yet</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4. Media</w:t>
      </w:r>
    </w:p>
    <w:p>
      <w:pPr>
        <w:spacing w:after="160"/>
      </w:pPr>
      <w:r>
        <w:rPr>
          <w:rFonts w:ascii="Arial" w:cs="Arial" w:eastAsia="Arial" w:hAnsi="Arial"/>
          <w:i/>
          <w:iCs/>
          <w:color w:val="777777"/>
          <w:sz w:val="18"/>
          <w:szCs w:val="18"/>
        </w:rPr>
        <w:t xml:space="preserve">Folder 04-media · tier 2 for the organisation's own films, tier 3 for others</w:t>
      </w:r>
    </w:p>
    <w:p>
      <w:pPr>
        <w:spacing w:after="100"/>
      </w:pPr>
      <w:r>
        <w:rPr>
          <w:rFonts w:ascii="Arial" w:cs="Arial" w:eastAsia="Arial" w:hAnsi="Arial"/>
          <w:sz w:val="20"/>
          <w:szCs w:val="20"/>
        </w:rPr>
        <w:t xml:space="preserve">Every film is transcribed to a text file beside it: the model reads text, not video. Stills lifted from the organisation's own films carry the film's name and the timecode. Nothing goes into a chapter without a rights note.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600"/>
        <w:gridCol w:w="1900"/>
        <w:gridCol w:w="1600"/>
        <w:gridCol w:w="1500"/>
      </w:tblGrid>
      <w:tr>
        <w:trPr>
          <w:tblHeader/>
        </w:trPr>
        <w:tc>
          <w:tcPr>
            <w:tcW w:type="dxa" w:w="1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File</w:t>
            </w:r>
          </w:p>
        </w:tc>
        <w:tc>
          <w:tcPr>
            <w:tcW w:type="dxa" w:w="21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shows or says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from</w:t>
            </w:r>
          </w:p>
        </w:tc>
        <w:tc>
          <w:tcPr>
            <w:tcW w:type="dxa" w:w="19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Rights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Transcript</w:t>
            </w:r>
          </w:p>
        </w:tc>
        <w:tc>
          <w:tcPr>
            <w:tcW w:type="dxa" w:w="15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bl>
    <w:p>
      <w:pPr>
        <w:pStyle w:val="Heading2"/>
        <w:spacing w:after="80" w:before="480"/>
      </w:pPr>
      <w:r>
        <w:rPr>
          <w:rFonts w:ascii="Arial" w:cs="Arial" w:eastAsia="Arial" w:hAnsi="Arial"/>
          <w:b/>
          <w:bCs/>
          <w:sz w:val="28"/>
          <w:szCs w:val="28"/>
        </w:rPr>
        <w:t xml:space="preserve">5. Brand</w:t>
      </w:r>
    </w:p>
    <w:p>
      <w:pPr>
        <w:spacing w:after="160"/>
      </w:pPr>
      <w:r>
        <w:rPr>
          <w:rFonts w:ascii="Arial" w:cs="Arial" w:eastAsia="Arial" w:hAnsi="Arial"/>
          <w:i/>
          <w:iCs/>
          <w:color w:val="777777"/>
          <w:sz w:val="18"/>
          <w:szCs w:val="18"/>
        </w:rPr>
        <w:t xml:space="preserve">Folder 05-brand · tier 2, or tier 1 if the supplied by the organisation guidelines</w:t>
      </w:r>
    </w:p>
    <w:p>
      <w:pPr>
        <w:spacing w:after="80"/>
      </w:pPr>
      <w:r>
        <w:t xml:space="preserve">Brand guidelines — The Marriott "Be" People Brand Style Guide (June 2023) establishes the design tokens for colour, type, and voice. · Tier 1 · Marriott "Be" People Brand — colour, type and voice tokens · 2026-09-22</w:t>
      </w:r>
    </w:p>
    <w:p>
      <w:pPr>
        <w:spacing w:after="80"/>
      </w:pPr>
      <w:r>
        <w:t xml:space="preserve">Logo — The Marriott logo must include a TM symbol and adhere to specific size and clearspace requirements. · Tier 1 · Marriott "Be" People Brand — colour, type and voice tokens; Marriott "Be" People Brand — colour, type and voice tokens; Marriott "Be" People Brand — colour, type and voice tokens · 2026-09-22</w:t>
      </w:r>
    </w:p>
    <w:p>
      <w:pPr>
        <w:spacing w:after="60" w:before="160"/>
      </w:pPr>
      <w:r>
        <w:rPr>
          <w:rFonts w:ascii="Arial" w:cs="Arial" w:eastAsia="Arial" w:hAnsi="Arial"/>
          <w:b/>
          <w:bCs/>
          <w:sz w:val="20"/>
          <w:szCs w:val="20"/>
        </w:rPr>
        <w:t xml:space="preserve">Colours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600"/>
      </w:tblGrid>
      <w:tr>
        <w:trPr>
          <w:tblHeader/>
        </w:trPr>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Name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Hex</w:t>
            </w:r>
          </w:p>
        </w:tc>
        <w:tc>
          <w:tcPr>
            <w:tcW w:type="dxa" w:w="5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seen</w:t>
            </w:r>
          </w:p>
        </w:tc>
      </w:tr>
      <w:tr>
        <w:trPr>
          <w:tblHeader w:val="false"/>
        </w:trPr>
        <w:tc>
          <w:tcPr>
            <w:tcW w:type="dxa" w:w="3000"/>
            <w:tcMar>
              <w:top w:type="dxa" w:w="60"/>
              <w:left w:type="dxa" w:w="100"/>
              <w:bottom w:type="dxa" w:w="60"/>
              <w:right w:type="dxa" w:w="100"/>
            </w:tcMar>
          </w:tcPr>
          <w:p>
            <w:pPr>
              <w:spacing w:after="40"/>
            </w:pPr>
            <w:r>
              <w:t xml:space="preserve">Bonvoy Coral</w:t>
            </w:r>
          </w:p>
        </w:tc>
        <w:tc>
          <w:tcPr>
            <w:tcW w:type="dxa" w:w="1800"/>
            <w:tcMar>
              <w:top w:type="dxa" w:w="60"/>
              <w:left w:type="dxa" w:w="100"/>
              <w:bottom w:type="dxa" w:w="60"/>
              <w:right w:type="dxa" w:w="100"/>
            </w:tcMar>
          </w:tcPr>
          <w:p>
            <w:pPr>
              <w:spacing w:after="40"/>
            </w:pPr>
            <w:r>
              <w:t xml:space="preserve">#FF9662</w:t>
            </w:r>
          </w:p>
        </w:tc>
        <w:tc>
          <w:tcPr>
            <w:tcW w:type="dxa" w:w="5600"/>
            <w:tcMar>
              <w:top w:type="dxa" w:w="60"/>
              <w:left w:type="dxa" w:w="100"/>
              <w:bottom w:type="dxa" w:w="60"/>
              <w:right w:type="dxa" w:w="100"/>
            </w:tcMar>
          </w:tcPr>
          <w:p>
            <w:pPr>
              <w:spacing w:after="40"/>
            </w:pPr>
            <w:r>
              <w:t xml:space="preserve">Floods and headlines</w:t>
            </w:r>
          </w:p>
        </w:tc>
      </w:tr>
      <w:tr>
        <w:trPr>
          <w:tblHeader w:val="false"/>
        </w:trPr>
        <w:tc>
          <w:tcPr>
            <w:tcW w:type="dxa" w:w="3000"/>
            <w:tcMar>
              <w:top w:type="dxa" w:w="60"/>
              <w:left w:type="dxa" w:w="100"/>
              <w:bottom w:type="dxa" w:w="60"/>
              <w:right w:type="dxa" w:w="100"/>
            </w:tcMar>
          </w:tcPr>
          <w:p>
            <w:pPr>
              <w:spacing w:after="40"/>
            </w:pPr>
            <w:r>
              <w:t xml:space="preserve">Bonvoy Coral</w:t>
            </w:r>
          </w:p>
        </w:tc>
        <w:tc>
          <w:tcPr>
            <w:tcW w:type="dxa" w:w="1800"/>
            <w:tcMar>
              <w:top w:type="dxa" w:w="60"/>
              <w:left w:type="dxa" w:w="100"/>
              <w:bottom w:type="dxa" w:w="60"/>
              <w:right w:type="dxa" w:w="100"/>
            </w:tcMar>
          </w:tcPr>
          <w:p>
            <w:pPr>
              <w:spacing w:after="40"/>
            </w:pPr>
            <w:r>
              <w:t xml:space="preserve">#FF9662</w:t>
            </w:r>
          </w:p>
        </w:tc>
        <w:tc>
          <w:tcPr>
            <w:tcW w:type="dxa" w:w="5600"/>
            <w:tcMar>
              <w:top w:type="dxa" w:w="60"/>
              <w:left w:type="dxa" w:w="100"/>
              <w:bottom w:type="dxa" w:w="60"/>
              <w:right w:type="dxa" w:w="100"/>
            </w:tcMar>
          </w:tcPr>
          <w:p>
            <w:pPr>
              <w:spacing w:after="40"/>
            </w:pPr>
            <w:r>
              <w:t xml:space="preserve">Logos on high contrast background colors.</w:t>
            </w:r>
          </w:p>
        </w:tc>
      </w:tr>
    </w:tbl>
    <w:p>
      <w:pPr>
        <w:spacing w:after="60"/>
      </w:pPr>
      <w:r>
        <w:rPr>
          <w:rFonts w:ascii="Arial" w:cs="Arial" w:eastAsia="Arial" w:hAnsi="Arial"/>
          <w:sz w:val="20"/>
          <w:szCs w:val="20"/>
        </w:rPr>
        <w:t xml:space="preserve"/>
      </w:r>
    </w:p>
    <w:p>
      <w:pPr>
        <w:spacing w:after="60" w:before="160"/>
      </w:pPr>
      <w:r>
        <w:rPr>
          <w:rFonts w:ascii="Arial" w:cs="Arial" w:eastAsia="Arial" w:hAnsi="Arial"/>
          <w:b/>
          <w:bCs/>
          <w:sz w:val="20"/>
          <w:szCs w:val="20"/>
        </w:rPr>
        <w:t xml:space="preserve">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3000"/>
      </w:tblGrid>
      <w:tr>
        <w:trPr>
          <w:tblHeader/>
        </w:trPr>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Face</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used</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Licence</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bl>
    <w:p>
      <w:pPr>
        <w:spacing w:after="60"/>
      </w:pPr>
      <w:r>
        <w:rPr>
          <w:rFonts w:ascii="Arial" w:cs="Arial" w:eastAsia="Arial" w:hAnsi="Arial"/>
          <w:sz w:val="20"/>
          <w:szCs w:val="20"/>
        </w:rPr>
        <w:t xml:space="preserve"/>
      </w:r>
    </w:p>
    <w:p>
      <w:pPr>
        <w:spacing w:after="80"/>
      </w:pPr>
      <w:r>
        <w:t xml:space="preserve">Photography — Photography style focuses on candid people doing real jobs and bright, uncluttered property shots. · Tier 1 · Marriott "Be" People Brand — colour, type and voice tokens; Marriott "Be" People Brand — colour, type and voice tokens · 2026-09-22</w:t>
      </w:r>
    </w:p>
    <w:p>
      <w:pPr>
        <w:spacing w:after="80"/>
      </w:pPr>
      <w:r>
        <w:t xml:space="preserve">House style — The brand voice is informal and conversational, akin to an older cousin providing career advice. · Tier 1 · Marriott "Be" People Brand — colour, type and voice tokens; Marriott "Be" People Brand — colour, type and voice tokens · 2026-09-22</w:t>
      </w:r>
    </w:p>
    <w:p>
      <w:pPr>
        <w:spacing w:after="80"/>
      </w:pPr>
      <w:r>
        <w:rPr>
          <w:rFonts w:ascii="Arial" w:cs="Arial" w:eastAsia="Arial" w:hAnsi="Arial"/>
          <w:b/>
          <w:bCs/>
          <w:color w:val="555555"/>
          <w:sz w:val="20"/>
          <w:szCs w:val="20"/>
        </w:rPr>
        <w:t xml:space="preserve">Screenshots — </w:t>
      </w:r>
      <w:r>
        <w:rPr>
          <w:rFonts w:ascii="Arial" w:cs="Arial" w:eastAsia="Arial" w:hAnsi="Arial"/>
          <w:b w:val="false"/>
          <w:bCs w:val="false"/>
          <w:i/>
          <w:iCs/>
          <w:color w:val="8A8A8A"/>
          <w:sz w:val="20"/>
          <w:szCs w:val="20"/>
        </w:rPr>
        <w:t xml:space="preserve">[The home page, a careers page, an apprenticeship page, with dates: reference only, never for use in a chapter.]</w:t>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Marriott "Be" People Brand — colour, type and voice tokens</w:t>
            </w:r>
          </w:p>
        </w:tc>
        <w:tc>
          <w:tcPr>
            <w:tcW w:type="auto" w:w="0"/>
          </w:tcPr>
          <w:p>
            <w:r>
              <w:t xml:space="preserve">1</w:t>
            </w:r>
          </w:p>
        </w:tc>
        <w:tc>
          <w:tcPr>
            <w:tcW w:type="auto" w:w="0"/>
          </w:tcPr>
          <w:p>
            <w:r>
              <w:t xml:space="preserve">Guidelines and where they live; Logo rules; Colours; Photography; House style</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6. Supplied by the organisation</w:t>
      </w:r>
    </w:p>
    <w:p>
      <w:pPr>
        <w:spacing w:after="160"/>
      </w:pPr>
      <w:r>
        <w:rPr>
          <w:rFonts w:ascii="Arial" w:cs="Arial" w:eastAsia="Arial" w:hAnsi="Arial"/>
          <w:i/>
          <w:iCs/>
          <w:color w:val="777777"/>
          <w:sz w:val="18"/>
          <w:szCs w:val="18"/>
        </w:rPr>
        <w:t xml:space="preserve">Folder 06-organisation-supplied · tier 1 · the first source of truth</w:t>
      </w:r>
    </w:p>
    <w:p>
      <w:pPr>
        <w:spacing w:after="100"/>
      </w:pPr>
      <w:r>
        <w:rPr>
          <w:rFonts w:ascii="Arial" w:cs="Arial" w:eastAsia="Arial" w:hAnsi="Arial"/>
          <w:sz w:val="20"/>
          <w:szCs w:val="20"/>
        </w:rPr>
        <w:t xml:space="preserve">Everything the organisation gave us, whatever kind: documents, brand guidelines, films, names we may use, answers to our questions, and the interview. When anything here disagrees with sections 1 to 5, this section wins, and the rest of the pack fills the gaps.</w:t>
      </w:r>
    </w:p>
    <w:p>
      <w:pPr>
        <w:spacing w:after="60" w:before="160"/>
      </w:pPr>
      <w:r>
        <w:rPr>
          <w:rFonts w:ascii="Arial" w:cs="Arial" w:eastAsia="Arial" w:hAnsi="Arial"/>
          <w:b/>
          <w:bCs/>
          <w:sz w:val="20"/>
          <w:szCs w:val="20"/>
        </w:rPr>
        <w:t xml:space="preserve">Documents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000"/>
        <w:gridCol w:w="2400"/>
      </w:tblGrid>
      <w:tr>
        <w:trPr>
          <w:tblHeader/>
        </w:trPr>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File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From whom</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settles</w:t>
            </w:r>
          </w:p>
        </w:tc>
      </w:tr>
      <w:tr>
        <w:trPr>
          <w:tblHeader w:val="false"/>
        </w:trPr>
        <w:tc>
          <w:tcPr>
            <w:tcW w:type="dxa" w:w="2200"/>
            <w:tcMar>
              <w:top w:type="dxa" w:w="60"/>
              <w:left w:type="dxa" w:w="100"/>
              <w:bottom w:type="dxa" w:w="60"/>
              <w:right w:type="dxa" w:w="100"/>
            </w:tcMar>
          </w:tcPr>
          <w:p>
            <w:pPr>
              <w:spacing w:after="40"/>
            </w:pPr>
            <w:r>
              <w:t xml:space="preserve">The 'People Brand Style Guide' provides standards for Associate life at Marriott.</w:t>
            </w:r>
          </w:p>
        </w:tc>
        <w:tc>
          <w:tcPr>
            <w:tcW w:type="dxa" w:w="18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r>
    </w:tbl>
    <w:p>
      <w:pPr>
        <w:spacing w:after="60"/>
      </w:pPr>
      <w:r>
        <w:rPr>
          <w:rFonts w:ascii="Arial" w:cs="Arial" w:eastAsia="Arial" w:hAnsi="Arial"/>
          <w:sz w:val="20"/>
          <w:szCs w:val="20"/>
        </w:rPr>
        <w:t xml:space="preserve"/>
      </w:r>
    </w:p>
    <w:p>
      <w:pPr>
        <w:spacing w:after="60" w:before="160"/>
      </w:pPr>
      <w:r>
        <w:rPr>
          <w:rFonts w:ascii="Arial" w:cs="Arial" w:eastAsia="Arial" w:hAnsi="Arial"/>
          <w:b/>
          <w:bCs/>
          <w:sz w:val="20"/>
          <w:szCs w:val="20"/>
        </w:rPr>
        <w:t xml:space="preserve">The interview</w:t>
      </w:r>
    </w:p>
    <w:p>
      <w:pPr>
        <w:spacing w:after="80"/>
      </w:pPr>
      <w:r>
        <w:rPr>
          <w:rFonts w:ascii="Arial" w:cs="Arial" w:eastAsia="Arial" w:hAnsi="Arial"/>
          <w:b/>
          <w:bCs/>
          <w:color w:val="555555"/>
          <w:sz w:val="20"/>
          <w:szCs w:val="20"/>
        </w:rPr>
        <w:t xml:space="preserve">Who — </w:t>
      </w:r>
      <w:r>
        <w:rPr>
          <w:rFonts w:ascii="Arial" w:cs="Arial" w:eastAsia="Arial" w:hAnsi="Arial"/>
          <w:b w:val="false"/>
          <w:bCs w:val="false"/>
          <w:i/>
          <w:iCs/>
          <w:color w:val="8A8A8A"/>
          <w:sz w:val="20"/>
          <w:szCs w:val="20"/>
        </w:rPr>
        <w:t xml:space="preserve">[Name, job title, how long in the role; whether they may be named in the chapter.]</w:t>
      </w:r>
    </w:p>
    <w:p>
      <w:pPr>
        <w:spacing w:after="80"/>
      </w:pPr>
      <w:r>
        <w:rPr>
          <w:rFonts w:ascii="Arial" w:cs="Arial" w:eastAsia="Arial" w:hAnsi="Arial"/>
          <w:b/>
          <w:bCs/>
          <w:color w:val="555555"/>
          <w:sz w:val="20"/>
          <w:szCs w:val="20"/>
        </w:rPr>
        <w:t xml:space="preserve">When and how — </w:t>
      </w:r>
      <w:r>
        <w:rPr>
          <w:rFonts w:ascii="Arial" w:cs="Arial" w:eastAsia="Arial" w:hAnsi="Arial"/>
          <w:b w:val="false"/>
          <w:bCs w:val="false"/>
          <w:i/>
          <w:iCs/>
          <w:color w:val="8A8A8A"/>
          <w:sz w:val="20"/>
          <w:szCs w:val="20"/>
        </w:rPr>
        <w:t xml:space="preserve">[Date; in person, call or video; recorded with their agreement.]</w:t>
      </w:r>
    </w:p>
    <w:p>
      <w:pPr>
        <w:spacing w:after="80"/>
      </w:pPr>
      <w:r>
        <w:rPr>
          <w:rFonts w:ascii="Arial" w:cs="Arial" w:eastAsia="Arial" w:hAnsi="Arial"/>
          <w:b/>
          <w:bCs/>
          <w:color w:val="555555"/>
          <w:sz w:val="20"/>
          <w:szCs w:val="20"/>
        </w:rPr>
        <w:t xml:space="preserve">Recording and transcript — </w:t>
      </w:r>
      <w:r>
        <w:rPr>
          <w:rFonts w:ascii="Arial" w:cs="Arial" w:eastAsia="Arial" w:hAnsi="Arial"/>
          <w:b w:val="false"/>
          <w:bCs w:val="false"/>
          <w:i/>
          <w:iCs/>
          <w:color w:val="8A8A8A"/>
          <w:sz w:val="20"/>
          <w:szCs w:val="20"/>
        </w:rPr>
        <w:t xml:space="preserve">[File names in 06-organisation-supplied.]</w:t>
      </w:r>
    </w:p>
    <w:p>
      <w:pPr>
        <w:spacing w:after="60" w:before="160"/>
      </w:pPr>
      <w:r>
        <w:rPr>
          <w:rFonts w:ascii="Arial" w:cs="Arial" w:eastAsia="Arial" w:hAnsi="Arial"/>
          <w:b/>
          <w:bCs/>
          <w:sz w:val="20"/>
          <w:szCs w:val="20"/>
        </w:rPr>
        <w:t xml:space="preserve">Questions to ask (thirty minutes, in this order)</w:t>
      </w:r>
    </w:p>
    <w:p>
      <w:pPr>
        <w:spacing w:after="40"/>
        <w:ind w:left="560" w:hanging="360"/>
      </w:pPr>
      <w:r>
        <w:rPr>
          <w:rFonts w:ascii="Arial" w:cs="Arial" w:eastAsia="Arial" w:hAnsi="Arial"/>
          <w:b/>
          <w:bCs/>
          <w:sz w:val="20"/>
          <w:szCs w:val="20"/>
        </w:rPr>
        <w:t xml:space="preserve">1. </w:t>
      </w:r>
      <w:r>
        <w:rPr>
          <w:rFonts w:ascii="Arial" w:cs="Arial" w:eastAsia="Arial" w:hAnsi="Arial"/>
          <w:sz w:val="20"/>
          <w:szCs w:val="20"/>
        </w:rPr>
        <w:t xml:space="preserve">What does a normal day look like, from arriving to leaving? What are the five moments you would show a sixteen-year-old?</w:t>
      </w:r>
    </w:p>
    <w:p>
      <w:pPr>
        <w:spacing w:after="40"/>
        <w:ind w:left="560" w:hanging="360"/>
      </w:pPr>
      <w:r>
        <w:rPr>
          <w:rFonts w:ascii="Arial" w:cs="Arial" w:eastAsia="Arial" w:hAnsi="Arial"/>
          <w:b/>
          <w:bCs/>
          <w:sz w:val="20"/>
          <w:szCs w:val="20"/>
        </w:rPr>
        <w:t xml:space="preserve">2. </w:t>
      </w:r>
      <w:r>
        <w:rPr>
          <w:rFonts w:ascii="Arial" w:cs="Arial" w:eastAsia="Arial" w:hAnsi="Arial"/>
          <w:sz w:val="20"/>
          <w:szCs w:val="20"/>
        </w:rPr>
        <w:t xml:space="preserve">What is the one routine you do most: a test, a shift, a round, a build, a visit? Who is there and how long does it take?</w:t>
      </w:r>
    </w:p>
    <w:p>
      <w:pPr>
        <w:spacing w:after="40"/>
        <w:ind w:left="560" w:hanging="360"/>
      </w:pPr>
      <w:r>
        <w:rPr>
          <w:rFonts w:ascii="Arial" w:cs="Arial" w:eastAsia="Arial" w:hAnsi="Arial"/>
          <w:b/>
          <w:bCs/>
          <w:sz w:val="20"/>
          <w:szCs w:val="20"/>
        </w:rPr>
        <w:t xml:space="preserve">3. </w:t>
      </w:r>
      <w:r>
        <w:rPr>
          <w:rFonts w:ascii="Arial" w:cs="Arial" w:eastAsia="Arial" w:hAnsi="Arial"/>
          <w:sz w:val="20"/>
          <w:szCs w:val="20"/>
        </w:rPr>
        <w:t xml:space="preserve">During it, what do you watch? What is the reading, what is its unit, and at what point do you pause to review, and at what point do you stop?</w:t>
      </w:r>
    </w:p>
    <w:p>
      <w:pPr>
        <w:spacing w:after="40"/>
        <w:ind w:left="560" w:hanging="360"/>
      </w:pPr>
      <w:r>
        <w:rPr>
          <w:rFonts w:ascii="Arial" w:cs="Arial" w:eastAsia="Arial" w:hAnsi="Arial"/>
          <w:b/>
          <w:bCs/>
          <w:sz w:val="20"/>
          <w:szCs w:val="20"/>
        </w:rPr>
        <w:t xml:space="preserve">4. </w:t>
      </w:r>
      <w:r>
        <w:rPr>
          <w:rFonts w:ascii="Arial" w:cs="Arial" w:eastAsia="Arial" w:hAnsi="Arial"/>
          <w:sz w:val="20"/>
          <w:szCs w:val="20"/>
        </w:rPr>
        <w:t xml:space="preserve">What went wrong last time? What did you think it was, what did you check, and what turned out to be the cause?</w:t>
      </w:r>
    </w:p>
    <w:p>
      <w:pPr>
        <w:spacing w:after="40"/>
        <w:ind w:left="560" w:hanging="360"/>
      </w:pPr>
      <w:r>
        <w:rPr>
          <w:rFonts w:ascii="Arial" w:cs="Arial" w:eastAsia="Arial" w:hAnsi="Arial"/>
          <w:b/>
          <w:bCs/>
          <w:sz w:val="20"/>
          <w:szCs w:val="20"/>
        </w:rPr>
        <w:t xml:space="preserve">5. </w:t>
      </w:r>
      <w:r>
        <w:rPr>
          <w:rFonts w:ascii="Arial" w:cs="Arial" w:eastAsia="Arial" w:hAnsi="Arial"/>
          <w:sz w:val="20"/>
          <w:szCs w:val="20"/>
        </w:rPr>
        <w:t xml:space="preserve">Who else is in the room, and who owns which measurement or sign-off?</w:t>
      </w:r>
    </w:p>
    <w:p>
      <w:pPr>
        <w:spacing w:after="40"/>
        <w:ind w:left="560" w:hanging="360"/>
      </w:pPr>
      <w:r>
        <w:rPr>
          <w:rFonts w:ascii="Arial" w:cs="Arial" w:eastAsia="Arial" w:hAnsi="Arial"/>
          <w:b/>
          <w:bCs/>
          <w:sz w:val="20"/>
          <w:szCs w:val="20"/>
        </w:rPr>
        <w:t xml:space="preserve">6. </w:t>
      </w:r>
      <w:r>
        <w:rPr>
          <w:rFonts w:ascii="Arial" w:cs="Arial" w:eastAsia="Arial" w:hAnsi="Arial"/>
          <w:sz w:val="20"/>
          <w:szCs w:val="20"/>
        </w:rPr>
        <w:t xml:space="preserve">What words does the team use that an outsider would not understand?</w:t>
      </w:r>
    </w:p>
    <w:p>
      <w:pPr>
        <w:spacing w:after="40"/>
        <w:ind w:left="560" w:hanging="360"/>
      </w:pPr>
      <w:r>
        <w:rPr>
          <w:rFonts w:ascii="Arial" w:cs="Arial" w:eastAsia="Arial" w:hAnsi="Arial"/>
          <w:b/>
          <w:bCs/>
          <w:sz w:val="20"/>
          <w:szCs w:val="20"/>
        </w:rPr>
        <w:t xml:space="preserve">7. </w:t>
      </w:r>
      <w:r>
        <w:rPr>
          <w:rFonts w:ascii="Arial" w:cs="Arial" w:eastAsia="Arial" w:hAnsi="Arial"/>
          <w:sz w:val="20"/>
          <w:szCs w:val="20"/>
        </w:rPr>
        <w:t xml:space="preserve">Which sites, systems, product names and figures may we use, and which must we not?</w:t>
      </w:r>
    </w:p>
    <w:p>
      <w:pPr>
        <w:spacing w:after="40"/>
        <w:ind w:left="560" w:hanging="360"/>
      </w:pPr>
      <w:r>
        <w:rPr>
          <w:rFonts w:ascii="Arial" w:cs="Arial" w:eastAsia="Arial" w:hAnsi="Arial"/>
          <w:b/>
          <w:bCs/>
          <w:sz w:val="20"/>
          <w:szCs w:val="20"/>
        </w:rPr>
        <w:t xml:space="preserve">8. </w:t>
      </w:r>
      <w:r>
        <w:rPr>
          <w:rFonts w:ascii="Arial" w:cs="Arial" w:eastAsia="Arial" w:hAnsi="Arial"/>
          <w:sz w:val="20"/>
          <w:szCs w:val="20"/>
        </w:rPr>
        <w:t xml:space="preserve">Who checks the storyboard for accuracy, and who signs it off?</w:t>
      </w:r>
    </w:p>
    <w:p>
      <w:pPr>
        <w:spacing w:after="60" w:before="160"/>
      </w:pPr>
      <w:r>
        <w:rPr>
          <w:rFonts w:ascii="Arial" w:cs="Arial" w:eastAsia="Arial" w:hAnsi="Arial"/>
          <w:b/>
          <w:bCs/>
          <w:sz w:val="20"/>
          <w:szCs w:val="20"/>
        </w:rPr>
        <w:t xml:space="preserve">What the interview settled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Question</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Answer, in their words</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Used in</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bl>
    <w:p>
      <w:pPr>
        <w:spacing w:after="60"/>
      </w:pPr>
      <w:r>
        <w:rPr>
          <w:rFonts w:ascii="Arial" w:cs="Arial" w:eastAsia="Arial" w:hAnsi="Arial"/>
          <w:sz w:val="20"/>
          <w:szCs w:val="20"/>
        </w:rPr>
        <w:t xml:space="preserve"/>
      </w:r>
    </w:p>
    <w:p>
      <w:pPr>
        <w:spacing w:after="80"/>
      </w:pPr>
      <w:r>
        <w:t xml:space="preserve">Names and things we may use — The style guide defines 'Be Plus Extensions' as approved phrasing for brand messaging. · Tier 1 · Marriott Be People Brand Style Guide · 2026-09-22</w:t>
      </w:r>
    </w:p>
    <w:p>
      <w:pPr>
        <w:spacing w:after="80"/>
      </w:pPr>
      <w:r>
        <w:rPr>
          <w:rFonts w:ascii="Arial" w:cs="Arial" w:eastAsia="Arial" w:hAnsi="Arial"/>
          <w:b/>
          <w:bCs/>
          <w:color w:val="555555"/>
          <w:sz w:val="20"/>
          <w:szCs w:val="20"/>
        </w:rPr>
        <w:t xml:space="preserve">Things we must not say — </w:t>
      </w:r>
      <w:r>
        <w:rPr>
          <w:rFonts w:ascii="Arial" w:cs="Arial" w:eastAsia="Arial" w:hAnsi="Arial"/>
          <w:b w:val="false"/>
          <w:bCs w:val="false"/>
          <w:i/>
          <w:iCs/>
          <w:color w:val="8A8A8A"/>
          <w:sz w:val="20"/>
          <w:szCs w:val="20"/>
        </w:rPr>
        <w:t xml:space="preserve">[Anything the organisation has asked us to leave out, and why.]</w:t>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Marriott Be People Brand Style Guide</w:t>
            </w:r>
          </w:p>
        </w:tc>
        <w:tc>
          <w:tcPr>
            <w:tcW w:type="auto" w:w="0"/>
          </w:tcPr>
          <w:p>
            <w:r>
              <w:t xml:space="preserve">1</w:t>
            </w:r>
          </w:p>
        </w:tc>
        <w:tc>
          <w:tcPr>
            <w:tcW w:type="auto" w:w="0"/>
          </w:tcPr>
          <w:p>
            <w:r>
              <w:t xml:space="preserve">Brand · Colours; Documents received; Names we may use</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7. Fact register</w:t>
      </w:r>
    </w:p>
    <w:p>
      <w:pPr>
        <w:spacing w:after="160"/>
      </w:pPr>
      <w:r>
        <w:rPr>
          <w:rFonts w:ascii="Arial" w:cs="Arial" w:eastAsia="Arial" w:hAnsi="Arial"/>
          <w:i/>
          <w:iCs/>
          <w:color w:val="777777"/>
          <w:sz w:val="18"/>
          <w:szCs w:val="18"/>
        </w:rPr>
        <w:t xml:space="preserve">Every fact the storyboard states about the organisation or the role has a row here</w:t>
      </w:r>
    </w:p>
    <w:p>
      <w:pPr>
        <w:spacing w:after="100"/>
      </w:pPr>
      <w:r>
        <w:rPr>
          <w:rFonts w:ascii="Arial" w:cs="Arial" w:eastAsia="Arial" w:hAnsi="Arial"/>
          <w:sz w:val="20"/>
          <w:szCs w:val="20"/>
        </w:rPr>
        <w:t xml:space="preserve">Fill it as you go. Tier: 1 supplied by the organisation, 2 the organisation's public material, 3 the profession, 4 illustrative. A fact at tier 4 is one you or the model invented for the case; it is registered so that it is declared, never so that it is passed off. The storyboard's last page, "For the organisation to confirm", is the rows at tiers 2, 3 and 4 that the chapter uses; a row marked verified moves to tier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800"/>
        <w:gridCol w:w="2400"/>
        <w:gridCol w:w="1000"/>
        <w:gridCol w:w="1200"/>
        <w:gridCol w:w="1600"/>
      </w:tblGrid>
      <w:tr>
        <w:trPr>
          <w:tblHeader/>
        </w:trPr>
        <w:tc>
          <w:tcPr>
            <w:tcW w:type="dxa" w:w="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Fact</w:t>
            </w:r>
          </w:p>
        </w:tc>
        <w:tc>
          <w:tcPr>
            <w:tcW w:type="dxa" w:w="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Tier</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1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Parts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Verified</w:t>
            </w:r>
          </w:p>
        </w:tc>
      </w:tr>
      <w:tr>
        <w:trPr>
          <w:tblHeader w:val="false"/>
        </w:trPr>
        <w:tc>
          <w:tcPr>
            <w:tcW w:type="dxa" w:w="400"/>
            <w:tcMar>
              <w:top w:type="dxa" w:w="60"/>
              <w:left w:type="dxa" w:w="100"/>
              <w:bottom w:type="dxa" w:w="60"/>
              <w:right w:type="dxa" w:w="100"/>
            </w:tcMar>
          </w:tcPr>
          <w:p>
            <w:pPr>
              <w:spacing w:after="40"/>
            </w:pPr>
            <w:r>
              <w:t xml:space="preserve">1</w:t>
            </w:r>
          </w:p>
        </w:tc>
        <w:tc>
          <w:tcPr>
            <w:tcW w:type="dxa" w:w="3000"/>
            <w:tcMar>
              <w:top w:type="dxa" w:w="60"/>
              <w:left w:type="dxa" w:w="100"/>
              <w:bottom w:type="dxa" w:w="60"/>
              <w:right w:type="dxa" w:w="100"/>
            </w:tcMar>
          </w:tcPr>
          <w:p>
            <w:pPr>
              <w:spacing w:after="40"/>
            </w:pPr>
            <w:r>
              <w:t xml:space="preserve">Marriott International, Inc. is a global hospitality company headquartered in Bethesda, Maryland, which operates a portfolio of brands across segments including luxury, premium, select, midscale, and extended stay.</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Marriott International — full year 2025 results; Marriott International — Wikipedia</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w:t>
            </w:r>
          </w:p>
        </w:tc>
        <w:tc>
          <w:tcPr>
            <w:tcW w:type="dxa" w:w="3000"/>
            <w:tcMar>
              <w:top w:type="dxa" w:w="60"/>
              <w:left w:type="dxa" w:w="100"/>
              <w:bottom w:type="dxa" w:w="60"/>
              <w:right w:type="dxa" w:w="100"/>
            </w:tcMar>
          </w:tcPr>
          <w:p>
            <w:pPr>
              <w:spacing w:after="40"/>
            </w:pPr>
            <w:r>
              <w:t xml:space="preserve">The organisation licenses lodging products including hotels, residences, timeshares, yachts, and outdoor products, supported by the Marriott Bonvoy travel platform.</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Marriott International — full year 2025 results; Marriott International — full year 2025 results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3</w:t>
            </w:r>
          </w:p>
        </w:tc>
        <w:tc>
          <w:tcPr>
            <w:tcW w:type="dxa" w:w="3000"/>
            <w:tcMar>
              <w:top w:type="dxa" w:w="60"/>
              <w:left w:type="dxa" w:w="100"/>
              <w:bottom w:type="dxa" w:w="60"/>
              <w:right w:type="dxa" w:w="100"/>
            </w:tcMar>
          </w:tcPr>
          <w:p>
            <w:pPr>
              <w:spacing w:after="40"/>
            </w:pPr>
            <w:r>
              <w:t xml:space="preserve">Marriott presents its career path as a journey to 'begin, belong, and become', guided by core values such as putting people first and pursuing excellence.</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About; Our-Story</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Make the call</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4</w:t>
            </w:r>
          </w:p>
        </w:tc>
        <w:tc>
          <w:tcPr>
            <w:tcW w:type="dxa" w:w="3000"/>
            <w:tcMar>
              <w:top w:type="dxa" w:w="60"/>
              <w:left w:type="dxa" w:w="100"/>
              <w:bottom w:type="dxa" w:w="60"/>
              <w:right w:type="dxa" w:w="100"/>
            </w:tcMar>
          </w:tcPr>
          <w:p>
            <w:pPr>
              <w:spacing w:after="40"/>
            </w:pPr>
            <w:r>
              <w:t xml:space="preserve">The Senior culinary chef level 4 apprenticeship is the vocational standard mapping to senior kitchen leadership roles such as Executive Chef or Head Chef.</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Senior culinary chef — apprenticeship standard ST0864</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5</w:t>
            </w:r>
          </w:p>
        </w:tc>
        <w:tc>
          <w:tcPr>
            <w:tcW w:type="dxa" w:w="3000"/>
            <w:tcMar>
              <w:top w:type="dxa" w:w="60"/>
              <w:left w:type="dxa" w:w="100"/>
              <w:bottom w:type="dxa" w:w="60"/>
              <w:right w:type="dxa" w:w="100"/>
            </w:tcMar>
          </w:tcPr>
          <w:p>
            <w:pPr>
              <w:spacing w:after="40"/>
            </w:pPr>
            <w:r>
              <w:t xml:space="preserve">Compliance and Safety Management — Keeping the kitchen clean and following food safety laws.</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Junior-Sous-Chef-London-Marriott; Senior-Sous-Chef,-Pre-Opening-The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 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6</w:t>
            </w:r>
          </w:p>
        </w:tc>
        <w:tc>
          <w:tcPr>
            <w:tcW w:type="dxa" w:w="3000"/>
            <w:tcMar>
              <w:top w:type="dxa" w:w="60"/>
              <w:left w:type="dxa" w:w="100"/>
              <w:bottom w:type="dxa" w:w="60"/>
              <w:right w:type="dxa" w:w="100"/>
            </w:tcMar>
          </w:tcPr>
          <w:p>
            <w:pPr>
              <w:spacing w:after="40"/>
            </w:pPr>
            <w:r>
              <w:t xml:space="preserve">Financial and Inventory Control — Ordering food and supplies while staying within the budget.</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Hotel-Sous-Chef; Junior-Sous-Chef-London-Marriott</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 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7</w:t>
            </w:r>
          </w:p>
        </w:tc>
        <w:tc>
          <w:tcPr>
            <w:tcW w:type="dxa" w:w="3000"/>
            <w:tcMar>
              <w:top w:type="dxa" w:w="60"/>
              <w:left w:type="dxa" w:w="100"/>
              <w:bottom w:type="dxa" w:w="60"/>
              <w:right w:type="dxa" w:w="100"/>
            </w:tcMar>
          </w:tcPr>
          <w:p>
            <w:pPr>
              <w:spacing w:after="40"/>
            </w:pPr>
            <w:r>
              <w:t xml:space="preserve">The Pass — The area where chefs plate up dishes and front-of-house staff collect them for service.</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Hotel-Sous-Chef; Senior-Sous-Chef,-Pre-Opening-The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 Make the call</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8</w:t>
            </w:r>
          </w:p>
        </w:tc>
        <w:tc>
          <w:tcPr>
            <w:tcW w:type="dxa" w:w="3000"/>
            <w:tcMar>
              <w:top w:type="dxa" w:w="60"/>
              <w:left w:type="dxa" w:w="100"/>
              <w:bottom w:type="dxa" w:w="60"/>
              <w:right w:type="dxa" w:w="100"/>
            </w:tcMar>
          </w:tcPr>
          <w:p>
            <w:pPr>
              <w:spacing w:after="40"/>
            </w:pPr>
            <w:r>
              <w:t xml:space="preserve">Industry practice often sets refrigerators at 5°C or lower to prevent breaching the legal 8°C limit when doors are opened.</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Temperature control law — the review lines and limits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9</w:t>
            </w:r>
          </w:p>
        </w:tc>
        <w:tc>
          <w:tcPr>
            <w:tcW w:type="dxa" w:w="3000"/>
            <w:tcMar>
              <w:top w:type="dxa" w:w="60"/>
              <w:left w:type="dxa" w:w="100"/>
              <w:bottom w:type="dxa" w:w="60"/>
              <w:right w:type="dxa" w:w="100"/>
            </w:tcMar>
          </w:tcPr>
          <w:p>
            <w:pPr>
              <w:spacing w:after="40"/>
            </w:pPr>
            <w:r>
              <w:t xml:space="preserve">UK law requires 14 specific allergens to be clearly communicated for all food sold, including non-prepacked items.</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The 14 regulated allergens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 Make the call</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10</w:t>
            </w:r>
          </w:p>
        </w:tc>
        <w:tc>
          <w:tcPr>
            <w:tcW w:type="dxa" w:w="3000"/>
            <w:tcMar>
              <w:top w:type="dxa" w:w="60"/>
              <w:left w:type="dxa" w:w="100"/>
              <w:bottom w:type="dxa" w:w="60"/>
              <w:right w:type="dxa" w:w="100"/>
            </w:tcMar>
          </w:tcPr>
          <w:p>
            <w:pPr>
              <w:spacing w:after="40"/>
            </w:pPr>
            <w:r>
              <w:t xml:space="preserve">The Marriott "Be" People Brand Style Guide (June 2023) establishes the design tokens for colour, type, and voice.</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11</w:t>
            </w:r>
          </w:p>
        </w:tc>
        <w:tc>
          <w:tcPr>
            <w:tcW w:type="dxa" w:w="3000"/>
            <w:tcMar>
              <w:top w:type="dxa" w:w="60"/>
              <w:left w:type="dxa" w:w="100"/>
              <w:bottom w:type="dxa" w:w="60"/>
              <w:right w:type="dxa" w:w="100"/>
            </w:tcMar>
          </w:tcPr>
          <w:p>
            <w:pPr>
              <w:spacing w:after="40"/>
            </w:pPr>
            <w:r>
              <w:t xml:space="preserve">The Marriott logo must include a TM symbol and adhere to specific size and clearspace requirements.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 Marriott "Be" People Brand — colour, type and voice tokens; 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12</w:t>
            </w:r>
          </w:p>
        </w:tc>
        <w:tc>
          <w:tcPr>
            <w:tcW w:type="dxa" w:w="3000"/>
            <w:tcMar>
              <w:top w:type="dxa" w:w="60"/>
              <w:left w:type="dxa" w:w="100"/>
              <w:bottom w:type="dxa" w:w="60"/>
              <w:right w:type="dxa" w:w="100"/>
            </w:tcMar>
          </w:tcPr>
          <w:p>
            <w:pPr>
              <w:spacing w:after="40"/>
            </w:pPr>
            <w:r>
              <w:t xml:space="preserve">Bonvoy Coral; #FF9662; seen Floods and headlines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 Marriott "Be" People Brand — colour, type and voice tokens; 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13</w:t>
            </w:r>
          </w:p>
        </w:tc>
        <w:tc>
          <w:tcPr>
            <w:tcW w:type="dxa" w:w="3000"/>
            <w:tcMar>
              <w:top w:type="dxa" w:w="60"/>
              <w:left w:type="dxa" w:w="100"/>
              <w:bottom w:type="dxa" w:w="60"/>
              <w:right w:type="dxa" w:w="100"/>
            </w:tcMar>
          </w:tcPr>
          <w:p>
            <w:pPr>
              <w:spacing w:after="40"/>
            </w:pPr>
            <w:r>
              <w:t xml:space="preserve">Bonvoy Coral; #FF9662; seen Logos on high contrast background colors.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14</w:t>
            </w:r>
          </w:p>
        </w:tc>
        <w:tc>
          <w:tcPr>
            <w:tcW w:type="dxa" w:w="3000"/>
            <w:tcMar>
              <w:top w:type="dxa" w:w="60"/>
              <w:left w:type="dxa" w:w="100"/>
              <w:bottom w:type="dxa" w:w="60"/>
              <w:right w:type="dxa" w:w="100"/>
            </w:tcMar>
          </w:tcPr>
          <w:p>
            <w:pPr>
              <w:spacing w:after="40"/>
            </w:pPr>
            <w:r>
              <w:t xml:space="preserve">Photography style focuses on candid people doing real jobs and bright, uncluttered property shots.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 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15</w:t>
            </w:r>
          </w:p>
        </w:tc>
        <w:tc>
          <w:tcPr>
            <w:tcW w:type="dxa" w:w="3000"/>
            <w:tcMar>
              <w:top w:type="dxa" w:w="60"/>
              <w:left w:type="dxa" w:w="100"/>
              <w:bottom w:type="dxa" w:w="60"/>
              <w:right w:type="dxa" w:w="100"/>
            </w:tcMar>
          </w:tcPr>
          <w:p>
            <w:pPr>
              <w:spacing w:after="40"/>
            </w:pPr>
            <w:r>
              <w:t xml:space="preserve">The brand voice is informal and conversational, akin to an older cousin providing career advice.</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 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16</w:t>
            </w:r>
          </w:p>
        </w:tc>
        <w:tc>
          <w:tcPr>
            <w:tcW w:type="dxa" w:w="3000"/>
            <w:tcMar>
              <w:top w:type="dxa" w:w="60"/>
              <w:left w:type="dxa" w:w="100"/>
              <w:bottom w:type="dxa" w:w="60"/>
              <w:right w:type="dxa" w:w="100"/>
            </w:tcMar>
          </w:tcPr>
          <w:p>
            <w:pPr>
              <w:spacing w:after="40"/>
            </w:pPr>
            <w:r>
              <w:t xml:space="preserve">The 'People Brand Style Guide' provides standards for Associate life at Marriott.</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17</w:t>
            </w:r>
          </w:p>
        </w:tc>
        <w:tc>
          <w:tcPr>
            <w:tcW w:type="dxa" w:w="3000"/>
            <w:tcMar>
              <w:top w:type="dxa" w:w="60"/>
              <w:left w:type="dxa" w:w="100"/>
              <w:bottom w:type="dxa" w:w="60"/>
              <w:right w:type="dxa" w:w="100"/>
            </w:tcMar>
          </w:tcPr>
          <w:p>
            <w:pPr>
              <w:spacing w:after="40"/>
            </w:pPr>
            <w:r>
              <w:t xml:space="preserve">The style guide defines 'Be Plus Extensions' as approved phrasing for brand messaging.</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Make the call</w:t>
            </w:r>
          </w:p>
        </w:tc>
        <w:tc>
          <w:tcPr>
            <w:tcW w:type="dxa" w:w="1600"/>
            <w:tcMar>
              <w:top w:type="dxa" w:w="60"/>
              <w:left w:type="dxa" w:w="100"/>
              <w:bottom w:type="dxa" w:w="60"/>
              <w:right w:type="dxa" w:w="100"/>
            </w:tcMar>
          </w:tcPr>
          <w:p>
            <w:pPr>
              <w:spacing w:after="40"/>
            </w:pPr>
            <w:r>
              <w:t xml:space="preserve">No</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8. Questions for the organisation</w:t>
      </w:r>
    </w:p>
    <w:p>
      <w:pPr>
        <w:spacing w:after="100"/>
      </w:pPr>
      <w:r>
        <w:rPr>
          <w:rFonts w:ascii="Arial" w:cs="Arial" w:eastAsia="Arial" w:hAnsi="Arial"/>
          <w:sz w:val="20"/>
          <w:szCs w:val="20"/>
        </w:rPr>
        <w:t xml:space="preserve">Write them as they arise, send them together, and register the answers at tier 1 when they come 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gridCol w:w="1200"/>
      </w:tblGrid>
      <w:tr>
        <w:trPr>
          <w:tblHeader/>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Question</w:t>
            </w:r>
          </w:p>
        </w:tc>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Why it matters to the chapter</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Answer</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3200"/>
            <w:tcMar>
              <w:top w:type="dxa" w:w="60"/>
              <w:left w:type="dxa" w:w="100"/>
              <w:bottom w:type="dxa" w:w="60"/>
              <w:right w:type="dxa" w:w="100"/>
            </w:tcMar>
          </w:tcPr>
          <w:p>
            <w:pPr>
              <w:spacing w:after="40"/>
            </w:pPr>
            <w:r>
              <w:t xml:space="preserve">Which specific UK hotel and brand will serve as the setting for this career simulation?</w:t>
            </w:r>
          </w:p>
        </w:tc>
        <w:tc>
          <w:tcPr>
            <w:tcW w:type="dxa" w:w="3200"/>
            <w:tcMar>
              <w:top w:type="dxa" w:w="60"/>
              <w:left w:type="dxa" w:w="100"/>
              <w:bottom w:type="dxa" w:w="60"/>
              <w:right w:type="dxa" w:w="100"/>
            </w:tcMar>
          </w:tcPr>
          <w:p>
            <w:pPr>
              <w:spacing w:after="40"/>
            </w:pPr>
            <w:r>
              <w:t xml:space="preserve">The entity context varies between managed and franchised properties, and the learner meets Marriott International, Inc. rather than the property owner.</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job title and duties for the role the learner will be simulating?</w:t>
            </w:r>
          </w:p>
        </w:tc>
        <w:tc>
          <w:tcPr>
            <w:tcW w:type="dxa" w:w="3200"/>
            <w:tcMar>
              <w:top w:type="dxa" w:w="60"/>
              <w:left w:type="dxa" w:w="100"/>
              <w:bottom w:type="dxa" w:w="60"/>
              <w:right w:type="dxa" w:w="100"/>
            </w:tcMar>
          </w:tcPr>
          <w:p>
            <w:pPr>
              <w:spacing w:after="40"/>
            </w:pPr>
            <w:r>
              <w:t xml:space="preserve">The role brief is currently null, and specific duties are required to populate the role.duty and case.routine slots.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legal entity name for Marriott’s UK operations that will be featured in this simulation?</w:t>
            </w:r>
          </w:p>
        </w:tc>
        <w:tc>
          <w:tcPr>
            <w:tcW w:type="dxa" w:w="3200"/>
            <w:tcMar>
              <w:top w:type="dxa" w:w="60"/>
              <w:left w:type="dxa" w:w="100"/>
              <w:bottom w:type="dxa" w:w="60"/>
              <w:right w:type="dxa" w:w="100"/>
            </w:tcMar>
          </w:tcPr>
          <w:p>
            <w:pPr>
              <w:spacing w:after="40"/>
            </w:pPr>
            <w:r>
              <w:t xml:space="preserve">The section notes indicate the UK hotel entity and property ownership context are thin and should be confirmed.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the title 'Executive Sous Chef' apply uniformly across all Marriott UK brands, or is it reserved for luxury brands like St. Regis?</w:t>
            </w:r>
          </w:p>
        </w:tc>
        <w:tc>
          <w:tcPr>
            <w:tcW w:type="dxa" w:w="3200"/>
            <w:tcMar>
              <w:top w:type="dxa" w:w="60"/>
              <w:left w:type="dxa" w:w="100"/>
              <w:bottom w:type="dxa" w:w="60"/>
              <w:right w:type="dxa" w:w="100"/>
            </w:tcMar>
          </w:tcPr>
          <w:p>
            <w:pPr>
              <w:spacing w:after="40"/>
            </w:pPr>
            <w:r>
              <w:t xml:space="preserve">Evidence shows the St. Regis brand uses 'Executive Sous Chef' while the Courtyard brand uses 'Hotel Sous Chef'. The role brief notes this title requires Marriott confirmation for the simulation's specific context.</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legal entity name for Marriott's UK hotel operations, and who owns the physical properties?</w:t>
            </w:r>
          </w:p>
        </w:tc>
        <w:tc>
          <w:tcPr>
            <w:tcW w:type="dxa" w:w="3200"/>
            <w:tcMar>
              <w:top w:type="dxa" w:w="60"/>
              <w:left w:type="dxa" w:w="100"/>
              <w:bottom w:type="dxa" w:w="60"/>
              <w:right w:type="dxa" w:w="100"/>
            </w:tcMar>
          </w:tcPr>
          <w:p>
            <w:pPr>
              <w:spacing w:after="40"/>
            </w:pPr>
            <w:r>
              <w:t xml:space="preserve">The organisation notes indicate the UK entity and property ownership context are thin and need confirmation for storyboard accuracy.</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job title and level of authority used by Marriott for this role in the UK?</w:t>
            </w:r>
          </w:p>
        </w:tc>
        <w:tc>
          <w:tcPr>
            <w:tcW w:type="dxa" w:w="3200"/>
            <w:tcMar>
              <w:top w:type="dxa" w:w="60"/>
              <w:left w:type="dxa" w:w="100"/>
              <w:bottom w:type="dxa" w:w="60"/>
              <w:right w:type="dxa" w:w="100"/>
            </w:tcMar>
          </w:tcPr>
          <w:p>
            <w:pPr>
              <w:spacing w:after="40"/>
            </w:pPr>
            <w:r>
              <w:t xml:space="preserve">The role brief notes that 'Executive Sous Chef' originated in non-Marriott material and needs validation against Marriott's specific UK titles.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Marriott set a internal brand standard for fridge temperatures (e.g., 5°C) that is stricter than the legal 8°C limit?</w:t>
            </w:r>
          </w:p>
        </w:tc>
        <w:tc>
          <w:tcPr>
            <w:tcW w:type="dxa" w:w="3200"/>
            <w:tcMar>
              <w:top w:type="dxa" w:w="60"/>
              <w:left w:type="dxa" w:w="100"/>
              <w:bottom w:type="dxa" w:w="60"/>
              <w:right w:type="dxa" w:w="100"/>
            </w:tcMar>
          </w:tcPr>
          <w:p>
            <w:pPr>
              <w:spacing w:after="40"/>
            </w:pPr>
            <w:r>
              <w:t xml:space="preserve">Source 39d5eefb suggests industry practice is 5°C, but Marriott's specific standard is not yet known.</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are the specific Marriott internal standards or cooling rules used in their Food Safety Management System?</w:t>
            </w:r>
          </w:p>
        </w:tc>
        <w:tc>
          <w:tcPr>
            <w:tcW w:type="dxa" w:w="3200"/>
            <w:tcMar>
              <w:top w:type="dxa" w:w="60"/>
              <w:left w:type="dxa" w:w="100"/>
              <w:bottom w:type="dxa" w:w="60"/>
              <w:right w:type="dxa" w:w="100"/>
            </w:tcMar>
          </w:tcPr>
          <w:p>
            <w:pPr>
              <w:spacing w:after="40"/>
            </w:pPr>
            <w:r>
              <w:t xml:space="preserve">Source 39d5eefb notes that the common 90-minute cooling rule is industry guidance rather than law; Marriott's specific system must be verified.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exact UK hotel entity name and property ownership context for this simulation?</w:t>
            </w:r>
          </w:p>
        </w:tc>
        <w:tc>
          <w:tcPr>
            <w:tcW w:type="dxa" w:w="3200"/>
            <w:tcMar>
              <w:top w:type="dxa" w:w="60"/>
              <w:left w:type="dxa" w:w="100"/>
              <w:bottom w:type="dxa" w:w="60"/>
              <w:right w:type="dxa" w:w="100"/>
            </w:tcMar>
          </w:tcPr>
          <w:p>
            <w:pPr>
              <w:spacing w:after="40"/>
            </w:pPr>
            <w:r>
              <w:t xml:space="preserve">Section notes indicate the organization folder is thinnest on the UK property context, which needs to be confirmed before wording is fixed.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 we have a license to use Ridley Grotesk in the simulation output, or should we strictly use Calibri?</w:t>
            </w:r>
          </w:p>
        </w:tc>
        <w:tc>
          <w:tcPr>
            <w:tcW w:type="dxa" w:w="3200"/>
            <w:tcMar>
              <w:top w:type="dxa" w:w="60"/>
              <w:left w:type="dxa" w:w="100"/>
              <w:bottom w:type="dxa" w:w="60"/>
              <w:right w:type="dxa" w:w="100"/>
            </w:tcMar>
          </w:tcPr>
          <w:p>
            <w:pPr>
              <w:spacing w:after="40"/>
            </w:pPr>
            <w:r>
              <w:t xml:space="preserve">The guide assumes Ridley Grotesk is licensed to Marriott but not necessarily to Springpod; researchers suggest using Calibri unless confirmed otherwise.</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Is the logo.svg file (#1C1C1C) the approved primary asset, and in which specific scenarios should the Coral colorway be used instead?</w:t>
            </w:r>
          </w:p>
        </w:tc>
        <w:tc>
          <w:tcPr>
            <w:tcW w:type="dxa" w:w="3200"/>
            <w:tcMar>
              <w:top w:type="dxa" w:w="60"/>
              <w:left w:type="dxa" w:w="100"/>
              <w:bottom w:type="dxa" w:w="60"/>
              <w:right w:type="dxa" w:w="100"/>
            </w:tcMar>
          </w:tcPr>
          <w:p>
            <w:pPr>
              <w:spacing w:after="40"/>
            </w:pPr>
            <w:r>
              <w:t xml:space="preserve">The local file is black, but the guide states Coral should be used on high-contrast backgrounds; clarification on the primary colorway for the logo is needed.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UK legal entity and property ownership context for this simulation?</w:t>
            </w:r>
          </w:p>
        </w:tc>
        <w:tc>
          <w:tcPr>
            <w:tcW w:type="dxa" w:w="3200"/>
            <w:tcMar>
              <w:top w:type="dxa" w:w="60"/>
              <w:left w:type="dxa" w:w="100"/>
              <w:bottom w:type="dxa" w:w="60"/>
              <w:right w:type="dxa" w:w="100"/>
            </w:tcMar>
          </w:tcPr>
          <w:p>
            <w:pPr>
              <w:spacing w:after="40"/>
            </w:pPr>
            <w:r>
              <w:t xml:space="preserve">The brief notes that internal information regarding the exact UK hotel entity is thin and needs confirmation before storyboard wording is finalised.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Which specific UK hotel properties or regions should be featured in the simulation?</w:t>
            </w:r>
          </w:p>
        </w:tc>
        <w:tc>
          <w:tcPr>
            <w:tcW w:type="dxa" w:w="3200"/>
            <w:tcMar>
              <w:top w:type="dxa" w:w="60"/>
              <w:left w:type="dxa" w:w="100"/>
              <w:bottom w:type="dxa" w:w="60"/>
              <w:right w:type="dxa" w:w="100"/>
            </w:tcMar>
          </w:tcPr>
          <w:p>
            <w:pPr>
              <w:spacing w:after="40"/>
            </w:pPr>
            <w:r>
              <w:t xml:space="preserve">The organization brief highlights uncertainty regarding property ownership context which could impact the realism of the simulation.</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UK legal entity and hotel name for the simulation, and does Marriott International, Inc. directly employ the Executive Sous Chef at this site?</w:t>
            </w:r>
          </w:p>
        </w:tc>
        <w:tc>
          <w:tcPr>
            <w:tcW w:type="dxa" w:w="3200"/>
            <w:tcMar>
              <w:top w:type="dxa" w:w="60"/>
              <w:left w:type="dxa" w:w="100"/>
              <w:bottom w:type="dxa" w:w="60"/>
              <w:right w:type="dxa" w:w="100"/>
            </w:tcMar>
          </w:tcPr>
          <w:p>
            <w:pPr>
              <w:spacing w:after="40"/>
            </w:pPr>
            <w:r>
              <w:t xml:space="preserve">The 1993 split separates property ownership from management; identifying the specific employer ensures accuracy regarding whether the learner is a Marriott International employee or works for a franchisee.</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Can Marriott confirm if 'Executive Sous Chef' is the standard job title for this seniority level at the chosen UK location, or should it be framed as a 'Senior Sous Chef' or 'Sous Chef' to align with current UK adverts?</w:t>
            </w:r>
          </w:p>
        </w:tc>
        <w:tc>
          <w:tcPr>
            <w:tcW w:type="dxa" w:w="3200"/>
            <w:tcMar>
              <w:top w:type="dxa" w:w="60"/>
              <w:left w:type="dxa" w:w="100"/>
              <w:bottom w:type="dxa" w:w="60"/>
              <w:right w:type="dxa" w:w="100"/>
            </w:tcMar>
          </w:tcPr>
          <w:p>
            <w:pPr>
              <w:spacing w:after="40"/>
            </w:pPr>
            <w:r>
              <w:t xml:space="preserve">The role brief notes that this title framing originated externally and adjacent adverts use different titles.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Marriott International use a standardized kitchen hierarchy across all UK brands (Courtyard, JW Marriott, St. Regis) for the 'Executive Sous Chef' title?</w:t>
            </w:r>
          </w:p>
        </w:tc>
        <w:tc>
          <w:tcPr>
            <w:tcW w:type="dxa" w:w="3200"/>
            <w:tcMar>
              <w:top w:type="dxa" w:w="60"/>
              <w:left w:type="dxa" w:w="100"/>
              <w:bottom w:type="dxa" w:w="60"/>
              <w:right w:type="dxa" w:w="100"/>
            </w:tcMar>
          </w:tcPr>
          <w:p>
            <w:pPr>
              <w:spacing w:after="40"/>
            </w:pPr>
            <w:r>
              <w:t xml:space="preserve">Evidence shows 'Executive Sous Chef' at St. Regis, 'Hotel Sous Chef' at Courtyard, and 'Junior Sous Chef' at Park Lane. The learner's exact title needs to align with Marriott's standard for a 14-18 career simulation.</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specific kitchen technology or software does Marriott use for food cost reporting and inventory management in the UK?</w:t>
            </w:r>
          </w:p>
        </w:tc>
        <w:tc>
          <w:tcPr>
            <w:tcW w:type="dxa" w:w="3200"/>
            <w:tcMar>
              <w:top w:type="dxa" w:w="60"/>
              <w:left w:type="dxa" w:w="100"/>
              <w:bottom w:type="dxa" w:w="60"/>
              <w:right w:type="dxa" w:w="100"/>
            </w:tcMar>
          </w:tcPr>
          <w:p>
            <w:pPr>
              <w:spacing w:after="40"/>
            </w:pPr>
            <w:r>
              <w:t xml:space="preserve">Adverts mention 'BenefitHub' for rewards and 'digital training resources', but do not name the specific kitchen management systems needed for the simulation tasks.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Marriott's specific brand standard for refrigerator temperatures?</w:t>
            </w:r>
          </w:p>
        </w:tc>
        <w:tc>
          <w:tcPr>
            <w:tcW w:type="dxa" w:w="3200"/>
            <w:tcMar>
              <w:top w:type="dxa" w:w="60"/>
              <w:left w:type="dxa" w:w="100"/>
              <w:bottom w:type="dxa" w:w="60"/>
              <w:right w:type="dxa" w:w="100"/>
            </w:tcMar>
          </w:tcPr>
          <w:p>
            <w:pPr>
              <w:spacing w:after="40"/>
            </w:pPr>
            <w:r>
              <w:t xml:space="preserve">Legal limit is 8°C, but industry practice is 5°C. Marriott's internal safety management system may mandate a specific stricter limit.</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Marriott International officially use the title 'Executive Sous Chef' for this specific kitchen hierarchy in the UK?</w:t>
            </w:r>
          </w:p>
        </w:tc>
        <w:tc>
          <w:tcPr>
            <w:tcW w:type="dxa" w:w="3200"/>
            <w:tcMar>
              <w:top w:type="dxa" w:w="60"/>
              <w:left w:type="dxa" w:w="100"/>
              <w:bottom w:type="dxa" w:w="60"/>
              <w:right w:type="dxa" w:w="100"/>
            </w:tcMar>
          </w:tcPr>
          <w:p>
            <w:pPr>
              <w:spacing w:after="40"/>
            </w:pPr>
            <w:r>
              <w:t xml:space="preserve">The role brief notes that this title framing originated in Springpod material and requires Marriott confirmation to ensure alignment with their HR structure.</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Can Marriott provide updated food waste statistics from their UK operations?</w:t>
            </w:r>
          </w:p>
        </w:tc>
        <w:tc>
          <w:tcPr>
            <w:tcW w:type="dxa" w:w="3200"/>
            <w:tcMar>
              <w:top w:type="dxa" w:w="60"/>
              <w:left w:type="dxa" w:w="100"/>
              <w:bottom w:type="dxa" w:w="60"/>
              <w:right w:type="dxa" w:w="100"/>
            </w:tcMar>
          </w:tcPr>
          <w:p>
            <w:pPr>
              <w:spacing w:after="40"/>
            </w:pPr>
            <w:r>
              <w:t xml:space="preserve">Available WRAP data is from 2011; current figures are needed to ensure the simulation reflects modern sustainability challenges.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Which specific UK hotel entity or property will the learner be 'joining', and what is the exact relationship between Marriott and the property owner there?</w:t>
            </w:r>
          </w:p>
        </w:tc>
        <w:tc>
          <w:tcPr>
            <w:tcW w:type="dxa" w:w="3200"/>
            <w:tcMar>
              <w:top w:type="dxa" w:w="60"/>
              <w:left w:type="dxa" w:w="100"/>
              <w:bottom w:type="dxa" w:w="60"/>
              <w:right w:type="dxa" w:w="100"/>
            </w:tcMar>
          </w:tcPr>
          <w:p>
            <w:pPr>
              <w:spacing w:after="40"/>
            </w:pPr>
            <w:r>
              <w:t xml:space="preserve">The section notes indicate that the UK hotel entity and property ownership context are currently 'thinnest' and need confirmation before storyboarding.</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Is 'Executive Sous Chef' the confirmed job title for the learner, and how does this title interact with the 'sous-chef' titles found in adjacent UK adverts?</w:t>
            </w:r>
          </w:p>
        </w:tc>
        <w:tc>
          <w:tcPr>
            <w:tcW w:type="dxa" w:w="3200"/>
            <w:tcMar>
              <w:top w:type="dxa" w:w="60"/>
              <w:left w:type="dxa" w:w="100"/>
              <w:bottom w:type="dxa" w:w="60"/>
              <w:right w:type="dxa" w:w="100"/>
            </w:tcMar>
          </w:tcPr>
          <w:p>
            <w:pPr>
              <w:spacing w:after="40"/>
            </w:pPr>
            <w:r>
              <w:t xml:space="preserve">The role brief notes that the Executive Sous Chef framing originated in Springpod material and requires Marriott confirmation as UK adverts use different adjacent titles.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 we have permission to use Ridley Grotesk, or must all simulation materials use the Calibri/system stack alternative?</w:t>
            </w:r>
          </w:p>
        </w:tc>
        <w:tc>
          <w:tcPr>
            <w:tcW w:type="dxa" w:w="3200"/>
            <w:tcMar>
              <w:top w:type="dxa" w:w="60"/>
              <w:left w:type="dxa" w:w="100"/>
              <w:bottom w:type="dxa" w:w="60"/>
              <w:right w:type="dxa" w:w="100"/>
            </w:tcMar>
          </w:tcPr>
          <w:p>
            <w:pPr>
              <w:spacing w:after="40"/>
            </w:pPr>
            <w:r>
              <w:t xml:space="preserve">The guide notes that Ridley Grotesk is a commercial typeface and its licensing status for this project is assumed to be restricted.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Can the client confirm the provenance and rights for 'logo.svg' and 'soux-chef.webp'?</w:t>
            </w:r>
          </w:p>
        </w:tc>
        <w:tc>
          <w:tcPr>
            <w:tcW w:type="dxa" w:w="3200"/>
            <w:tcMar>
              <w:top w:type="dxa" w:w="60"/>
              <w:left w:type="dxa" w:w="100"/>
              <w:bottom w:type="dxa" w:w="60"/>
              <w:right w:type="dxa" w:w="100"/>
            </w:tcMar>
          </w:tcPr>
          <w:p>
            <w:pPr>
              <w:spacing w:after="40"/>
            </w:pPr>
            <w:r>
              <w:t xml:space="preserve">The internal notes state that the provenance and rights for these files are not recorded and they should not be used until confirmed.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Which specific UK hotel entity will the learner be placed in, and what is the property ownership context for that site?</w:t>
            </w:r>
          </w:p>
        </w:tc>
        <w:tc>
          <w:tcPr>
            <w:tcW w:type="dxa" w:w="3200"/>
            <w:tcMar>
              <w:top w:type="dxa" w:w="60"/>
              <w:left w:type="dxa" w:w="100"/>
              <w:bottom w:type="dxa" w:w="60"/>
              <w:right w:type="dxa" w:w="100"/>
            </w:tcMar>
          </w:tcPr>
          <w:p>
            <w:pPr>
              <w:spacing w:after="40"/>
            </w:pPr>
            <w:r>
              <w:t xml:space="preserve">The organisation notes indicate thinnest evidence on the exact UK hotel entity, and wording for the storyboard cannot be fixed without this context.</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Marriott International, Inc. officially use the title 'Executive Sous Chef' in its UK hotels, or should an adjacent title like 'Sous Chef' be used?</w:t>
            </w:r>
          </w:p>
        </w:tc>
        <w:tc>
          <w:tcPr>
            <w:tcW w:type="dxa" w:w="3200"/>
            <w:tcMar>
              <w:top w:type="dxa" w:w="60"/>
              <w:left w:type="dxa" w:w="100"/>
              <w:bottom w:type="dxa" w:w="60"/>
              <w:right w:type="dxa" w:w="100"/>
            </w:tcMar>
          </w:tcPr>
          <w:p>
            <w:pPr>
              <w:spacing w:after="40"/>
            </w:pPr>
            <w:r>
              <w:t xml:space="preserve">The role brief indicates Marriott's UK adverts use adjacent titles and the Executive Sous Chef title originated in Springpod material and requires confirmation.</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bl>
    <w:p>
      <w:pPr>
        <w:spacing w:after="60"/>
      </w:pPr>
      <w:r>
        <w:rPr>
          <w:rFonts w:ascii="Arial" w:cs="Arial" w:eastAsia="Arial" w:hAnsi="Arial"/>
          <w:sz w:val="20"/>
          <w:szCs w:val="20"/>
        </w:rPr>
        <w:t xml:space="preserve"/>
      </w:r>
    </w:p>
    <w:p>
      <w:pPr>
        <w:pStyle w:val="Heading3"/>
      </w:pPr>
      <w:r>
        <w:t xml:space="preserve">For the organisation to confirm</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w:t>
            </w:r>
          </w:p>
        </w:tc>
        <w:tc>
          <w:tcPr>
            <w:tcW w:type="auto" w:w="0"/>
          </w:tcPr>
          <w:p>
            <w:r>
              <w:t xml:space="preserve">Fact</w:t>
            </w:r>
          </w:p>
        </w:tc>
        <w:tc>
          <w:tcPr>
            <w:tcW w:type="auto" w:w="0"/>
          </w:tcPr>
          <w:p>
            <w:r>
              <w:t xml:space="preserve">Tier</w:t>
            </w:r>
          </w:p>
        </w:tc>
        <w:tc>
          <w:tcPr>
            <w:tcW w:type="auto" w:w="0"/>
          </w:tcPr>
          <w:p>
            <w:r>
              <w:t xml:space="preserve">Source</w:t>
            </w:r>
          </w:p>
        </w:tc>
        <w:tc>
          <w:tcPr>
            <w:tcW w:type="auto" w:w="0"/>
          </w:tcPr>
          <w:p>
            <w:r>
              <w:t xml:space="preserve">Parts</w:t>
            </w:r>
          </w:p>
        </w:tc>
        <w:tc>
          <w:tcPr>
            <w:tcW w:type="auto" w:w="0"/>
          </w:tcPr>
          <w:p>
            <w:r>
              <w:t xml:space="preserve">Confirmed (initials, date)</w:t>
            </w:r>
          </w:p>
        </w:tc>
      </w:tr>
      <w:tr>
        <w:tc>
          <w:tcPr>
            <w:tcW w:type="auto" w:w="0"/>
          </w:tcPr>
          <w:p>
            <w:r>
              <w:t xml:space="preserve">1</w:t>
            </w:r>
          </w:p>
        </w:tc>
        <w:tc>
          <w:tcPr>
            <w:tcW w:type="auto" w:w="0"/>
          </w:tcPr>
          <w:p>
            <w:r>
              <w:t xml:space="preserve">Marriott International, Inc. is a global hospitality company headquartered in Bethesda, Maryland, which operates a portfolio of brands across segments including luxury, premium, select, midscale, and extended stay.</w:t>
            </w:r>
          </w:p>
        </w:tc>
        <w:tc>
          <w:tcPr>
            <w:tcW w:type="auto" w:w="0"/>
          </w:tcPr>
          <w:p>
            <w:r>
              <w:t xml:space="preserve">2</w:t>
            </w:r>
          </w:p>
        </w:tc>
        <w:tc>
          <w:tcPr>
            <w:tcW w:type="auto" w:w="0"/>
          </w:tcPr>
          <w:p>
            <w:r>
              <w:t xml:space="preserve">Marriott International — full year 2025 results; Marriott International — Wikipedia</w:t>
            </w:r>
          </w:p>
        </w:tc>
        <w:tc>
          <w:tcPr>
            <w:tcW w:type="auto" w:w="0"/>
          </w:tcPr>
          <w:p>
            <w:r>
              <w:t xml:space="preserve">A day in the role</w:t>
            </w:r>
          </w:p>
        </w:tc>
        <w:tc>
          <w:tcPr>
            <w:tcW w:type="auto" w:w="0"/>
          </w:tcPr>
          <w:p>
            <w:r>
              <w:t xml:space="preserve"/>
            </w:r>
          </w:p>
        </w:tc>
      </w:tr>
      <w:tr>
        <w:tc>
          <w:tcPr>
            <w:tcW w:type="auto" w:w="0"/>
          </w:tcPr>
          <w:p>
            <w:r>
              <w:t xml:space="preserve">2</w:t>
            </w:r>
          </w:p>
        </w:tc>
        <w:tc>
          <w:tcPr>
            <w:tcW w:type="auto" w:w="0"/>
          </w:tcPr>
          <w:p>
            <w:r>
              <w:t xml:space="preserve">The organisation licenses lodging products including hotels, residences, timeshares, yachts, and outdoor products, supported by the Marriott Bonvoy travel platform.</w:t>
            </w:r>
          </w:p>
        </w:tc>
        <w:tc>
          <w:tcPr>
            <w:tcW w:type="auto" w:w="0"/>
          </w:tcPr>
          <w:p>
            <w:r>
              <w:t xml:space="preserve">2</w:t>
            </w:r>
          </w:p>
        </w:tc>
        <w:tc>
          <w:tcPr>
            <w:tcW w:type="auto" w:w="0"/>
          </w:tcPr>
          <w:p>
            <w:r>
              <w:t xml:space="preserve">Marriott International — full year 2025 results; Marriott International — full year 2025 results</w:t>
            </w:r>
          </w:p>
        </w:tc>
        <w:tc>
          <w:tcPr>
            <w:tcW w:type="auto" w:w="0"/>
          </w:tcPr>
          <w:p>
            <w:r>
              <w:t xml:space="preserve">Follow the workflow</w:t>
            </w:r>
          </w:p>
        </w:tc>
        <w:tc>
          <w:tcPr>
            <w:tcW w:type="auto" w:w="0"/>
          </w:tcPr>
          <w:p>
            <w:r>
              <w:t xml:space="preserve"/>
            </w:r>
          </w:p>
        </w:tc>
      </w:tr>
      <w:tr>
        <w:tc>
          <w:tcPr>
            <w:tcW w:type="auto" w:w="0"/>
          </w:tcPr>
          <w:p>
            <w:r>
              <w:t xml:space="preserve">3</w:t>
            </w:r>
          </w:p>
        </w:tc>
        <w:tc>
          <w:tcPr>
            <w:tcW w:type="auto" w:w="0"/>
          </w:tcPr>
          <w:p>
            <w:r>
              <w:t xml:space="preserve">Marriott presents its career path as a journey to 'begin, belong, and become', guided by core values such as putting people first and pursuing excellence.</w:t>
            </w:r>
          </w:p>
        </w:tc>
        <w:tc>
          <w:tcPr>
            <w:tcW w:type="auto" w:w="0"/>
          </w:tcPr>
          <w:p>
            <w:r>
              <w:t xml:space="preserve">2</w:t>
            </w:r>
          </w:p>
        </w:tc>
        <w:tc>
          <w:tcPr>
            <w:tcW w:type="auto" w:w="0"/>
          </w:tcPr>
          <w:p>
            <w:r>
              <w:t xml:space="preserve">About; Our-Story</w:t>
            </w:r>
          </w:p>
        </w:tc>
        <w:tc>
          <w:tcPr>
            <w:tcW w:type="auto" w:w="0"/>
          </w:tcPr>
          <w:p>
            <w:r>
              <w:t xml:space="preserve">Make the call</w:t>
            </w:r>
          </w:p>
        </w:tc>
        <w:tc>
          <w:tcPr>
            <w:tcW w:type="auto" w:w="0"/>
          </w:tcPr>
          <w:p>
            <w:r>
              <w:t xml:space="preserve"/>
            </w:r>
          </w:p>
        </w:tc>
      </w:tr>
      <w:tr>
        <w:tc>
          <w:tcPr>
            <w:tcW w:type="auto" w:w="0"/>
          </w:tcPr>
          <w:p>
            <w:r>
              <w:t xml:space="preserve">4</w:t>
            </w:r>
          </w:p>
        </w:tc>
        <w:tc>
          <w:tcPr>
            <w:tcW w:type="auto" w:w="0"/>
          </w:tcPr>
          <w:p>
            <w:r>
              <w:t xml:space="preserve">The Senior culinary chef level 4 apprenticeship is the vocational standard mapping to senior kitchen leadership roles such as Executive Chef or Head Chef.</w:t>
            </w:r>
          </w:p>
        </w:tc>
        <w:tc>
          <w:tcPr>
            <w:tcW w:type="auto" w:w="0"/>
          </w:tcPr>
          <w:p>
            <w:r>
              <w:t xml:space="preserve">3</w:t>
            </w:r>
          </w:p>
        </w:tc>
        <w:tc>
          <w:tcPr>
            <w:tcW w:type="auto" w:w="0"/>
          </w:tcPr>
          <w:p>
            <w:r>
              <w:t xml:space="preserve">Senior culinary chef — apprenticeship standard ST0864</w:t>
            </w:r>
          </w:p>
        </w:tc>
        <w:tc>
          <w:tcPr>
            <w:tcW w:type="auto" w:w="0"/>
          </w:tcPr>
          <w:p>
            <w:r>
              <w:t xml:space="preserve">What matters first</w:t>
            </w:r>
          </w:p>
        </w:tc>
        <w:tc>
          <w:tcPr>
            <w:tcW w:type="auto" w:w="0"/>
          </w:tcPr>
          <w:p>
            <w:r>
              <w:t xml:space="preserve"/>
            </w:r>
          </w:p>
        </w:tc>
      </w:tr>
      <w:tr>
        <w:tc>
          <w:tcPr>
            <w:tcW w:type="auto" w:w="0"/>
          </w:tcPr>
          <w:p>
            <w:r>
              <w:t xml:space="preserve">5</w:t>
            </w:r>
          </w:p>
        </w:tc>
        <w:tc>
          <w:tcPr>
            <w:tcW w:type="auto" w:w="0"/>
          </w:tcPr>
          <w:p>
            <w:r>
              <w:t xml:space="preserve">Compliance and Safety Management — Keeping the kitchen clean and following food safety laws.</w:t>
            </w:r>
          </w:p>
        </w:tc>
        <w:tc>
          <w:tcPr>
            <w:tcW w:type="auto" w:w="0"/>
          </w:tcPr>
          <w:p>
            <w:r>
              <w:t xml:space="preserve">2</w:t>
            </w:r>
          </w:p>
        </w:tc>
        <w:tc>
          <w:tcPr>
            <w:tcW w:type="auto" w:w="0"/>
          </w:tcPr>
          <w:p>
            <w:r>
              <w:t xml:space="preserve">Junior-Sous-Chef-London-Marriott; Senior-Sous-Chef,-Pre-Opening-The</w:t>
            </w:r>
          </w:p>
        </w:tc>
        <w:tc>
          <w:tcPr>
            <w:tcW w:type="auto" w:w="0"/>
          </w:tcPr>
          <w:p>
            <w:r>
              <w:t xml:space="preserve">Follow the workflow; What matters first</w:t>
            </w:r>
          </w:p>
        </w:tc>
        <w:tc>
          <w:tcPr>
            <w:tcW w:type="auto" w:w="0"/>
          </w:tcPr>
          <w:p>
            <w:r>
              <w:t xml:space="preserve"/>
            </w:r>
          </w:p>
        </w:tc>
      </w:tr>
      <w:tr>
        <w:tc>
          <w:tcPr>
            <w:tcW w:type="auto" w:w="0"/>
          </w:tcPr>
          <w:p>
            <w:r>
              <w:t xml:space="preserve">6</w:t>
            </w:r>
          </w:p>
        </w:tc>
        <w:tc>
          <w:tcPr>
            <w:tcW w:type="auto" w:w="0"/>
          </w:tcPr>
          <w:p>
            <w:r>
              <w:t xml:space="preserve">Financial and Inventory Control — Ordering food and supplies while staying within the budget.</w:t>
            </w:r>
          </w:p>
        </w:tc>
        <w:tc>
          <w:tcPr>
            <w:tcW w:type="auto" w:w="0"/>
          </w:tcPr>
          <w:p>
            <w:r>
              <w:t xml:space="preserve">2</w:t>
            </w:r>
          </w:p>
        </w:tc>
        <w:tc>
          <w:tcPr>
            <w:tcW w:type="auto" w:w="0"/>
          </w:tcPr>
          <w:p>
            <w:r>
              <w:t xml:space="preserve">Hotel-Sous-Chef; Junior-Sous-Chef-London-Marriott</w:t>
            </w:r>
          </w:p>
        </w:tc>
        <w:tc>
          <w:tcPr>
            <w:tcW w:type="auto" w:w="0"/>
          </w:tcPr>
          <w:p>
            <w:r>
              <w:t xml:space="preserve">Follow the workflow; What matters first</w:t>
            </w:r>
          </w:p>
        </w:tc>
        <w:tc>
          <w:tcPr>
            <w:tcW w:type="auto" w:w="0"/>
          </w:tcPr>
          <w:p>
            <w:r>
              <w:t xml:space="preserve"/>
            </w:r>
          </w:p>
        </w:tc>
      </w:tr>
      <w:tr>
        <w:tc>
          <w:tcPr>
            <w:tcW w:type="auto" w:w="0"/>
          </w:tcPr>
          <w:p>
            <w:r>
              <w:t xml:space="preserve">7</w:t>
            </w:r>
          </w:p>
        </w:tc>
        <w:tc>
          <w:tcPr>
            <w:tcW w:type="auto" w:w="0"/>
          </w:tcPr>
          <w:p>
            <w:r>
              <w:t xml:space="preserve">The Pass — The area where chefs plate up dishes and front-of-house staff collect them for service.</w:t>
            </w:r>
          </w:p>
        </w:tc>
        <w:tc>
          <w:tcPr>
            <w:tcW w:type="auto" w:w="0"/>
          </w:tcPr>
          <w:p>
            <w:r>
              <w:t xml:space="preserve">2</w:t>
            </w:r>
          </w:p>
        </w:tc>
        <w:tc>
          <w:tcPr>
            <w:tcW w:type="auto" w:w="0"/>
          </w:tcPr>
          <w:p>
            <w:r>
              <w:t xml:space="preserve">Hotel-Sous-Chef; Senior-Sous-Chef,-Pre-Opening-The</w:t>
            </w:r>
          </w:p>
        </w:tc>
        <w:tc>
          <w:tcPr>
            <w:tcW w:type="auto" w:w="0"/>
          </w:tcPr>
          <w:p>
            <w:r>
              <w:t xml:space="preserve">A day in the role; Make the call</w:t>
            </w:r>
          </w:p>
        </w:tc>
        <w:tc>
          <w:tcPr>
            <w:tcW w:type="auto" w:w="0"/>
          </w:tcPr>
          <w:p>
            <w:r>
              <w:t xml:space="preserve"/>
            </w:r>
          </w:p>
        </w:tc>
      </w:tr>
      <w:tr>
        <w:tc>
          <w:tcPr>
            <w:tcW w:type="auto" w:w="0"/>
          </w:tcPr>
          <w:p>
            <w:r>
              <w:t xml:space="preserve">8</w:t>
            </w:r>
          </w:p>
        </w:tc>
        <w:tc>
          <w:tcPr>
            <w:tcW w:type="auto" w:w="0"/>
          </w:tcPr>
          <w:p>
            <w:r>
              <w:t xml:space="preserve">Industry practice often sets refrigerators at 5°C or lower to prevent breaching the legal 8°C limit when doors are opened.</w:t>
            </w:r>
          </w:p>
        </w:tc>
        <w:tc>
          <w:tcPr>
            <w:tcW w:type="auto" w:w="0"/>
          </w:tcPr>
          <w:p>
            <w:r>
              <w:t xml:space="preserve">3</w:t>
            </w:r>
          </w:p>
        </w:tc>
        <w:tc>
          <w:tcPr>
            <w:tcW w:type="auto" w:w="0"/>
          </w:tcPr>
          <w:p>
            <w:r>
              <w:t xml:space="preserve">Temperature control law — the review lines and limits</w:t>
            </w:r>
          </w:p>
        </w:tc>
        <w:tc>
          <w:tcPr>
            <w:tcW w:type="auto" w:w="0"/>
          </w:tcPr>
          <w:p>
            <w:r>
              <w:t xml:space="preserve">Follow the workflow</w:t>
            </w:r>
          </w:p>
        </w:tc>
        <w:tc>
          <w:tcPr>
            <w:tcW w:type="auto" w:w="0"/>
          </w:tcPr>
          <w:p>
            <w:r>
              <w:t xml:space="preserve"/>
            </w:r>
          </w:p>
        </w:tc>
      </w:tr>
      <w:tr>
        <w:tc>
          <w:tcPr>
            <w:tcW w:type="auto" w:w="0"/>
          </w:tcPr>
          <w:p>
            <w:r>
              <w:t xml:space="preserve">9</w:t>
            </w:r>
          </w:p>
        </w:tc>
        <w:tc>
          <w:tcPr>
            <w:tcW w:type="auto" w:w="0"/>
          </w:tcPr>
          <w:p>
            <w:r>
              <w:t xml:space="preserve">UK law requires 14 specific allergens to be clearly communicated for all food sold, including non-prepacked items.</w:t>
            </w:r>
          </w:p>
        </w:tc>
        <w:tc>
          <w:tcPr>
            <w:tcW w:type="auto" w:w="0"/>
          </w:tcPr>
          <w:p>
            <w:r>
              <w:t xml:space="preserve">3</w:t>
            </w:r>
          </w:p>
        </w:tc>
        <w:tc>
          <w:tcPr>
            <w:tcW w:type="auto" w:w="0"/>
          </w:tcPr>
          <w:p>
            <w:r>
              <w:t xml:space="preserve">The 14 regulated allergens</w:t>
            </w:r>
          </w:p>
        </w:tc>
        <w:tc>
          <w:tcPr>
            <w:tcW w:type="auto" w:w="0"/>
          </w:tcPr>
          <w:p>
            <w:r>
              <w:t xml:space="preserve">What matters first; Make the call</w:t>
            </w:r>
          </w:p>
        </w:tc>
        <w:tc>
          <w:tcPr>
            <w:tcW w:type="auto" w:w="0"/>
          </w:tcPr>
          <w:p>
            <w:r>
              <w:t xml:space="preserve"/>
            </w:r>
          </w:p>
        </w:tc>
      </w:tr>
    </w:tbl>
    <w:p>
      <w:pPr>
        <w:pStyle w:val="Heading2"/>
      </w:pPr>
      <w:r>
        <w:t xml:space="preserve">Limitations</w:t>
      </w:r>
    </w:p>
    <w:p>
      <w:r>
        <w:t xml:space="preserve">• Accept at least one evidence-backed fact about the organisation.</w:t>
      </w:r>
    </w:p>
    <w:p>
      <w:r>
        <w:t xml:space="preserve">• Review outstanding facts or explicitly exclude them.</w:t>
      </w:r>
    </w:p>
    <w:p>
      <w:r>
        <w:t xml:space="preserve">• Resolve questions marked as blocking.</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Fact placed outside the requested folders: organisation.size → left unplaced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Fact placed outside the requested folders: organisation.voice → left unplaced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Fact placed outside the requested folders: organisation.size → left unplaced</w:t>
      </w:r>
    </w:p>
    <w:p>
      <w:r>
        <w:t xml:space="preserve">• Fact placed outside the requested folders: organisation.voice → left unplaced</w:t>
      </w:r>
    </w:p>
    <w:p>
      <w:r>
        <w:t xml:space="preserve">• A generated fact was excluded because its quotation or evidence category could not be verified.</w:t>
      </w:r>
    </w:p>
    <w:p>
      <w:r>
        <w:t xml:space="preserve">• Fact placed outside the requested folders: brand.colour → left unplaced</w:t>
      </w:r>
    </w:p>
    <w:p>
      <w:r>
        <w:t xml:space="preserve">• A generated fact was excluded because its quotation or evidence category could not be verified.</w:t>
      </w:r>
    </w:p>
    <w:p>
      <w:r>
        <w:t xml:space="preserve">• Fact placed outside the requested folders: brand.house-style → left unplaced</w:t>
      </w:r>
    </w:p>
    <w:p>
      <w:r>
        <w:t xml:space="preserve">• Fact placed outside the requested folders: brand.logo → left unplaced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An interrupted research run was recovered. Completed evidence has been retained.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Placed 1 fact in other folders: Brand (1)</w:t>
      </w:r>
    </w:p>
    <w:p>
      <w:r>
        <w:t xml:space="preserve">• Research readiness is not the organisation's approval. Occupational context and activity ideas require validation by the organisation.</w:t>
      </w:r>
    </w:p>
    <w:p>
      <w:r>
        <w:t xml:space="preserve">• Template section not found: For the organisation to confirm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2026-09-17T09:44:51.243Z</dcterms:created>
  <dcterms:modified xsi:type="dcterms:W3CDTF">2026-09-17T09:44:51.244Z</dcterms:modified>
</cp:coreProperties>
</file>

<file path=docProps/custom.xml><?xml version="1.0" encoding="utf-8"?>
<Properties xmlns="http://schemas.openxmlformats.org/officeDocument/2006/custom-properties" xmlns:vt="http://schemas.openxmlformats.org/officeDocument/2006/docPropsVTypes"/>
</file>