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Marriott International · organisation knowledge base</w:t>
      </w:r>
    </w:p>
    <w:p>
      <w:pPr>
        <w:spacing w:after="160"/>
      </w:pPr>
      <w:r>
        <w:rPr>
          <w:rFonts w:ascii="Arial" w:cs="Arial" w:eastAsia="Arial" w:hAnsi="Arial"/>
          <w:i/>
          <w:iCs/>
          <w:color w:val="777777"/>
          <w:sz w:val="18"/>
          <w:szCs w:val="18"/>
        </w:rPr>
        <w:t xml:space="preserve">Springpod LEARN · the research pack behind a storyboard · V1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Organisation, as it writes its own name</w:t>
            </w:r>
          </w:p>
        </w:tc>
        <w:tc>
          <w:tcPr>
            <w:tcW w:type="dxa" w:w="7200"/>
            <w:tcMar>
              <w:top w:type="dxa" w:w="60"/>
              <w:left w:type="dxa" w:w="100"/>
              <w:bottom w:type="dxa" w:w="60"/>
              <w:right w:type="dxa" w:w="100"/>
            </w:tcMar>
          </w:tcPr>
          <w:p>
            <w:pPr>
              <w:spacing w:after="40"/>
            </w:pPr>
            <w:r>
              <w:t xml:space="preserve">Marriott International</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The entity the learner meets</w:t>
            </w:r>
          </w:p>
        </w:tc>
        <w:tc>
          <w:tcPr>
            <w:tcW w:type="dxa" w:w="7200"/>
            <w:tcMar>
              <w:top w:type="dxa" w:w="60"/>
              <w:left w:type="dxa" w:w="100"/>
              <w:bottom w:type="dxa" w:w="60"/>
              <w:right w:type="dxa" w:w="100"/>
            </w:tcMar>
          </w:tcPr>
          <w:p>
            <w:pPr>
              <w:spacing w:after="40"/>
            </w:pPr>
            <w:r>
              <w:t xml:space="preserve">Marriott International, Inc. (Nasdaq: MAR), the hotel manager and franchisor headquartered in Bethesda, Maryland. Not the owner of the building: the 1993 split separated the operator from the property company.</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Role, as the organisation names it</w:t>
            </w:r>
          </w:p>
        </w:tc>
        <w:tc>
          <w:tcPr>
            <w:tcW w:type="dxa" w:w="7200"/>
            <w:tcMar>
              <w:top w:type="dxa" w:w="60"/>
              <w:left w:type="dxa" w:w="100"/>
              <w:bottom w:type="dxa" w:w="60"/>
              <w:right w:type="dxa" w:w="100"/>
            </w:tcMar>
          </w:tcPr>
          <w:p>
            <w:pPr>
              <w:spacing w:after="40"/>
            </w:pPr>
            <w:r>
              <w:t xml:space="preserve">Executive Sous Chef</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Compiled by</w:t>
            </w:r>
          </w:p>
        </w:tc>
        <w:tc>
          <w:tcPr>
            <w:tcW w:type="dxa" w:w="7200"/>
            <w:tcMar>
              <w:top w:type="dxa" w:w="60"/>
              <w:left w:type="dxa" w:w="100"/>
              <w:bottom w:type="dxa" w:w="60"/>
              <w:right w:type="dxa" w:w="100"/>
            </w:tcMar>
          </w:tcPr>
          <w:p>
            <w:pPr>
              <w:spacing w:after="40"/>
            </w:pPr>
            <w:r>
              <w:t xml:space="preserve">user_3Jg3g3Ywy4w37kMjLN0eXojR258</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Started · last updated</w:t>
            </w:r>
          </w:p>
        </w:tc>
        <w:tc>
          <w:tcPr>
            <w:tcW w:type="dxa" w:w="7200"/>
            <w:tcMar>
              <w:top w:type="dxa" w:w="60"/>
              <w:left w:type="dxa" w:w="100"/>
              <w:bottom w:type="dxa" w:w="60"/>
              <w:right w:type="dxa" w:w="100"/>
            </w:tcMar>
          </w:tcPr>
          <w:p>
            <w:pPr>
              <w:spacing w:after="40"/>
            </w:pPr>
            <w:r>
              <w:t xml:space="preserve">2026-09-22 · 2026-09-22</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Who at the organisation checks facts</w:t>
            </w:r>
          </w:p>
        </w:tc>
        <w:tc>
          <w:tcPr>
            <w:tcW w:type="dxa" w:w="7200"/>
            <w:tcMar>
              <w:top w:type="dxa" w:w="60"/>
              <w:left w:type="dxa" w:w="100"/>
              <w:bottom w:type="dxa" w:w="60"/>
              <w:right w:type="dxa" w:w="100"/>
            </w:tcMar>
          </w:tcPr>
          <w:p>
            <w:pPr>
              <w:spacing w:after="40"/>
            </w:pPr>
            <w:r>
              <w:t xml:space="preserve">Not yet known — section 8, question 1, </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How this pack works</w:t>
      </w:r>
    </w:p>
    <w:p>
      <w:pPr>
        <w:spacing w:after="100"/>
      </w:pPr>
      <w:r>
        <w:rPr>
          <w:rFonts w:ascii="Arial" w:cs="Arial" w:eastAsia="Arial" w:hAnsi="Arial"/>
          <w:sz w:val="20"/>
          <w:szCs w:val="20"/>
        </w:rPr>
        <w:t xml:space="preserve">One place for everything known about the organisation and the role before a storyboard is written, so that every fact the chapter states can be traced to where it came from. The model reads this document first; the designer keeps it beside the storyboard; the storyboard's last page, "For the organisation to confirm", is written from the register at the end of it.</w:t>
      </w:r>
    </w:p>
    <w:p>
      <w:pPr>
        <w:spacing w:after="100"/>
      </w:pPr>
      <w:r>
        <w:rPr>
          <w:rFonts w:ascii="Arial" w:cs="Arial" w:eastAsia="Arial" w:hAnsi="Arial"/>
          <w:sz w:val="20"/>
          <w:szCs w:val="20"/>
        </w:rPr>
        <w:t xml:space="preserve">Everything in the pack sits in one of four tiers. The rule: tier 1 wins every conflict, tiers 2 and 3 fill the gaps, and nothing at tier 4 is ever presented as the organisation's 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100"/>
      </w:tblGrid>
      <w:tr>
        <w:trPr>
          <w:tblHeader/>
        </w:trPr>
        <w:tc>
          <w:tcPr>
            <w:tcW w:type="dxa" w:w="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Tier</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Name</w:t>
            </w:r>
          </w:p>
        </w:tc>
        <w:tc>
          <w:tcPr>
            <w:tcW w:type="dxa" w:w="71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Supplied by the organisation</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What the organisation gave us or said in the interview. True by definition; the first source for everything.</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organisation's public material</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Its own web pages, reports, adverts, press kit. True, but not yet confirmed for this chapter.</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profession</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apprenticeship standard, the professional body, the National Careers Service, the industry's standards and guidance.</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Illustrative</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Invented for the case: the incident, its numbers, the people, the applications. Plausible, never the organisation's own.</w:t>
            </w:r>
          </w:p>
        </w:tc>
      </w:tr>
    </w:tbl>
    <w:p>
      <w:pPr>
        <w:spacing w:after="60"/>
      </w:pPr>
      <w:r>
        <w:rPr>
          <w:rFonts w:ascii="Arial" w:cs="Arial" w:eastAsia="Arial" w:hAnsi="Arial"/>
          <w:sz w:val="20"/>
          <w:szCs w:val="20"/>
        </w:rPr>
        <w:t xml:space="preserve"/>
      </w:r>
    </w:p>
    <w:p>
      <w:pPr>
        <w:spacing w:after="100"/>
      </w:pPr>
      <w:r>
        <w:rPr>
          <w:rFonts w:ascii="Arial" w:cs="Arial" w:eastAsia="Arial" w:hAnsi="Arial"/>
          <w:sz w:val="20"/>
          <w:szCs w:val="20"/>
        </w:rPr>
        <w:t xml:space="preserve">The folder beside this document has six numbered parts in the order of the sections below. Supplied by the organisation is the last folder and the first source of truth. Name every file with its date and where it came from (2026-09-17_careers-page_apprenticeships.pdf), because pages change and adverts vanish.</w:t>
      </w:r>
    </w:p>
    <w:p>
      <w:pPr>
        <w:spacing w:after="100"/>
      </w:pPr>
      <w:r>
        <w:rPr>
          <w:rFonts w:ascii="Arial" w:cs="Arial" w:eastAsia="Arial" w:hAnsi="Arial"/>
          <w:sz w:val="20"/>
          <w:szCs w:val="20"/>
        </w:rPr>
        <w:t xml:space="preserve">Every fact you intend to use goes into the fact register (section 7) with its tier, its source and its date, as you find it, not afterwards. Write questions for the organisation (section 8) as they arise; the answers come back at tier 1. Where a section asks for a source, give the file name in the folder or the address of the page, and the date you read it.</w:t>
      </w:r>
    </w:p>
    <w:p>
      <w:pPr>
        <w:pStyle w:val="Heading2"/>
        <w:spacing w:after="80" w:before="480"/>
      </w:pPr>
      <w:r>
        <w:rPr>
          <w:rFonts w:ascii="Arial" w:cs="Arial" w:eastAsia="Arial" w:hAnsi="Arial"/>
          <w:b/>
          <w:bCs/>
          <w:sz w:val="28"/>
          <w:szCs w:val="28"/>
        </w:rPr>
        <w:t xml:space="preserve">1. The organisation</w:t>
      </w:r>
    </w:p>
    <w:p>
      <w:pPr>
        <w:pStyle w:val="Heading3"/>
      </w:pPr>
      <w:r>
        <w:t xml:space="preserve">Designer's note</w:t>
      </w:r>
    </w:p>
    <w:p>
      <w:r>
        <w:t xml:space="preserve">The organisation folder is strongest on Marriott’s public scale, story and values. It is thinnest on the exact UK hotel entity and property ownership context, which should be confirmed before storyboard wording is fixed.</w:t>
      </w:r>
    </w:p>
    <w:p>
      <w:r>
        <w:rPr>
          <w:i/>
        </w:rPr>
        <w:t xml:space="preserve">Springpod research · 2026-09-22</w:t>
      </w:r>
    </w:p>
    <w:p>
      <w:pPr>
        <w:spacing w:after="160"/>
      </w:pPr>
      <w:r>
        <w:rPr>
          <w:rFonts w:ascii="Arial" w:cs="Arial" w:eastAsia="Arial" w:hAnsi="Arial"/>
          <w:i/>
          <w:iCs/>
          <w:color w:val="777777"/>
          <w:sz w:val="18"/>
          <w:szCs w:val="18"/>
        </w:rPr>
        <w:t xml:space="preserve">Folder 01-organisation · tier 2, unless the supplied by the organisation it</w:t>
      </w:r>
    </w:p>
    <w:p>
      <w:pPr>
        <w:spacing w:after="80"/>
      </w:pPr>
      <w:r>
        <w:t xml:space="preserve">In one paragraph — Marriott International, Inc. is a global hospitality manager and franchisor based in Bethesda, Maryland, that evolved from a 1927 root beer stand into a company with over 9,800 properties worldwide. · Tier 2 · Marriott International — full year 2025 results; Our-Story · 2026-09-22</w:t>
      </w:r>
    </w:p>
    <w:p>
      <w:pPr>
        <w:spacing w:after="80"/>
      </w:pPr>
      <w:r>
        <w:rPr>
          <w:rFonts w:ascii="Arial" w:cs="Arial" w:eastAsia="Arial" w:hAnsi="Arial"/>
          <w:b/>
          <w:bCs/>
          <w:color w:val="555555"/>
          <w:sz w:val="20"/>
          <w:szCs w:val="20"/>
        </w:rPr>
        <w:t xml:space="preserve">The entity — </w:t>
      </w:r>
      <w:r>
        <w:rPr>
          <w:rFonts w:ascii="Arial" w:cs="Arial" w:eastAsia="Arial" w:hAnsi="Arial"/>
          <w:b w:val="false"/>
          <w:bCs w:val="false"/>
          <w:i/>
          <w:iCs/>
          <w:color w:val="8A8A8A"/>
          <w:sz w:val="20"/>
          <w:szCs w:val="20"/>
        </w:rPr>
        <w:t xml:space="preserve">[Which company the learner meets: the group, the division, the trading name; who owns it. Check that the Wikipedia page and the careers page describe the same one.]</w:t>
      </w:r>
    </w:p>
    <w:p>
      <w:pPr>
        <w:spacing w:after="80"/>
      </w:pPr>
      <w:r>
        <w:rPr>
          <w:rFonts w:ascii="Arial" w:cs="Arial" w:eastAsia="Arial" w:hAnsi="Arial"/>
          <w:b/>
          <w:bCs/>
          <w:color w:val="555555"/>
          <w:sz w:val="20"/>
          <w:szCs w:val="20"/>
        </w:rPr>
        <w:t xml:space="preserve">Sites — </w:t>
      </w:r>
      <w:r>
        <w:rPr>
          <w:rFonts w:ascii="Arial" w:cs="Arial" w:eastAsia="Arial" w:hAnsi="Arial"/>
          <w:b w:val="false"/>
          <w:bCs w:val="false"/>
          <w:i/>
          <w:iCs/>
          <w:color w:val="8A8A8A"/>
          <w:sz w:val="20"/>
          <w:szCs w:val="20"/>
        </w:rPr>
        <w:t xml:space="preserve">[The sites the role works at, and which one the chapter is set at. What each site does. Source.]</w:t>
      </w:r>
    </w:p>
    <w:p>
      <w:pPr>
        <w:spacing w:after="80"/>
      </w:pPr>
      <w:r>
        <w:t xml:space="preserve">Products and services — The company offers a range of lodging products across luxury and midscale segments and operates the Marriott Bonvoy travel platform. · Tier 2 · Marriott International — full year 2025 results; Marriott International — full year 2025 results · 2026-09-22</w:t>
      </w:r>
    </w:p>
    <w:p>
      <w:pPr>
        <w:spacing w:after="80"/>
      </w:pPr>
      <w:r>
        <w:rPr>
          <w:rFonts w:ascii="Arial" w:cs="Arial" w:eastAsia="Arial" w:hAnsi="Arial"/>
          <w:b/>
          <w:bCs/>
          <w:color w:val="555555"/>
          <w:sz w:val="20"/>
          <w:szCs w:val="20"/>
        </w:rPr>
        <w:t xml:space="preserve">Size and numbers — </w:t>
      </w:r>
      <w:r>
        <w:rPr>
          <w:rFonts w:ascii="Arial" w:cs="Arial" w:eastAsia="Arial" w:hAnsi="Arial"/>
          <w:b w:val="false"/>
          <w:bCs w:val="false"/>
          <w:i/>
          <w:iCs/>
          <w:color w:val="8A8A8A"/>
          <w:sz w:val="20"/>
          <w:szCs w:val="20"/>
        </w:rPr>
        <w:t xml:space="preserve">[Headcount, turnover, fleet, output, apprentices taken on: only with a source and a date.]</w:t>
      </w:r>
    </w:p>
    <w:p>
      <w:pPr>
        <w:spacing w:after="80"/>
      </w:pPr>
      <w:r>
        <w:t xml:space="preserve">How it talks about itself — Marriott's internal culture is framed by the motto 'Begin. Belong. Become.' and five core values including 'put people first' and 'pursue excellence'. · Tier 2 · About; Our-Story · 2026-09-22</w:t>
      </w:r>
    </w:p>
    <w:p>
      <w:pPr>
        <w:spacing w:after="80"/>
      </w:pPr>
      <w:r>
        <w:rPr>
          <w:rFonts w:ascii="Arial" w:cs="Arial" w:eastAsia="Arial" w:hAnsi="Arial"/>
          <w:b/>
          <w:bCs/>
          <w:color w:val="555555"/>
          <w:sz w:val="20"/>
          <w:szCs w:val="20"/>
        </w:rPr>
        <w:t xml:space="preserve">Recent news — </w:t>
      </w:r>
      <w:r>
        <w:rPr>
          <w:rFonts w:ascii="Arial" w:cs="Arial" w:eastAsia="Arial" w:hAnsi="Arial"/>
          <w:b w:val="false"/>
          <w:bCs w:val="false"/>
          <w:i/>
          <w:iCs/>
          <w:color w:val="8A8A8A"/>
          <w:sz w:val="20"/>
          <w:szCs w:val="20"/>
        </w:rPr>
        <w:t xml:space="preserve">[Two or three items with dates: a new site, a contract, a change of ownership, an award.]</w:t>
      </w:r>
    </w:p>
    <w:p>
      <w:pPr>
        <w:spacing w:after="60" w:before="160"/>
      </w:pPr>
      <w:r>
        <w:rPr>
          <w:rFonts w:ascii="Arial" w:cs="Arial" w:eastAsia="Arial" w:hAnsi="Arial"/>
          <w:b/>
          <w:bCs/>
          <w:sz w:val="20"/>
          <w:szCs w:val="20"/>
        </w:rPr>
        <w:t xml:space="preserv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gridCol w:w="1800"/>
      </w:tblGrid>
      <w:tr>
        <w:trPr>
          <w:tblHeader/>
        </w:trPr>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gave us</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Page or file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 read</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Wikipedia</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[Basic facts, history, ownership, the logo]</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organisation's website: about, careers, apprenticeships, sites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says about itself and the role]</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[Files in 01-organisation]</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Annual report or strategy page</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[Numbers and direction, for The stakes]</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or address]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News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business is doing now]</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[Files or addresses]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[Another source]</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r>
    </w:tbl>
    <w:p>
      <w:pPr>
        <w:spacing w:after="60"/>
      </w:pPr>
      <w:r>
        <w:rPr>
          <w:rFonts w:ascii="Arial" w:cs="Arial" w:eastAsia="Arial" w:hAnsi="Arial"/>
          <w:sz w:val="20"/>
          <w:szCs w:val="20"/>
        </w:rPr>
        <w:t xml:space="preserve"/>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Marriott International — full year 2025 results</w:t>
            </w:r>
          </w:p>
        </w:tc>
        <w:tc>
          <w:tcPr>
            <w:tcW w:type="auto" w:w="0"/>
          </w:tcPr>
          <w:p>
            <w:r>
              <w:t xml:space="preserve">2</w:t>
            </w:r>
          </w:p>
        </w:tc>
        <w:tc>
          <w:tcPr>
            <w:tcW w:type="auto" w:w="0"/>
          </w:tcPr>
          <w:p>
            <w:r>
              <w:t xml:space="preserve">In one paragraph; Products, services and customers</w:t>
            </w:r>
          </w:p>
        </w:tc>
        <w:tc>
          <w:tcPr>
            <w:tcW w:type="auto" w:w="0"/>
          </w:tcPr>
          <w:p>
            <w:r>
              <w:t xml:space="preserve">2026-09-22</w:t>
            </w:r>
          </w:p>
        </w:tc>
      </w:tr>
      <w:tr>
        <w:tc>
          <w:tcPr>
            <w:tcW w:type="auto" w:w="0"/>
          </w:tcPr>
          <w:p>
            <w:r>
              <w:t xml:space="preserve">Marriott International — Wikipedia</w:t>
            </w:r>
          </w:p>
        </w:tc>
        <w:tc>
          <w:tcPr>
            <w:tcW w:type="auto" w:w="0"/>
          </w:tcPr>
          <w:p>
            <w:r>
              <w:t xml:space="preserve">3</w:t>
            </w:r>
          </w:p>
        </w:tc>
        <w:tc>
          <w:tcPr>
            <w:tcW w:type="auto" w:w="0"/>
          </w:tcPr>
          <w:p>
            <w:r>
              <w:t xml:space="preserve">No facts yet</w:t>
            </w:r>
          </w:p>
        </w:tc>
        <w:tc>
          <w:tcPr>
            <w:tcW w:type="auto" w:w="0"/>
          </w:tcPr>
          <w:p>
            <w:r>
              <w:t xml:space="preserve">2026-09-22</w:t>
            </w:r>
          </w:p>
        </w:tc>
      </w:tr>
      <w:tr>
        <w:tc>
          <w:tcPr>
            <w:tcW w:type="auto" w:w="0"/>
          </w:tcPr>
          <w:p>
            <w:r>
              <w:t xml:space="preserve">About</w:t>
            </w:r>
          </w:p>
        </w:tc>
        <w:tc>
          <w:tcPr>
            <w:tcW w:type="auto" w:w="0"/>
          </w:tcPr>
          <w:p>
            <w:r>
              <w:t xml:space="preserve">2</w:t>
            </w:r>
          </w:p>
        </w:tc>
        <w:tc>
          <w:tcPr>
            <w:tcW w:type="auto" w:w="0"/>
          </w:tcPr>
          <w:p>
            <w:r>
              <w:t xml:space="preserve">How it talks about itself</w:t>
            </w:r>
          </w:p>
        </w:tc>
        <w:tc>
          <w:tcPr>
            <w:tcW w:type="auto" w:w="0"/>
          </w:tcPr>
          <w:p>
            <w:r>
              <w:t xml:space="preserve">2026-09-22</w:t>
            </w:r>
          </w:p>
        </w:tc>
      </w:tr>
      <w:tr>
        <w:tc>
          <w:tcPr>
            <w:tcW w:type="auto" w:w="0"/>
          </w:tcPr>
          <w:p>
            <w:r>
              <w:t xml:space="preserve">Early-Careers-at-Marriott</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Marriott-International-Careers</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Marriott-is-Growing-Forward-—</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Marriott</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Our-Story</w:t>
            </w:r>
          </w:p>
        </w:tc>
        <w:tc>
          <w:tcPr>
            <w:tcW w:type="auto" w:w="0"/>
          </w:tcPr>
          <w:p>
            <w:r>
              <w:t xml:space="preserve">2</w:t>
            </w:r>
          </w:p>
        </w:tc>
        <w:tc>
          <w:tcPr>
            <w:tcW w:type="auto" w:w="0"/>
          </w:tcPr>
          <w:p>
            <w:r>
              <w:t xml:space="preserve">In one paragraph; How it talks about itself</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2. The role</w:t>
      </w:r>
    </w:p>
    <w:p>
      <w:pPr>
        <w:pStyle w:val="Heading3"/>
      </w:pPr>
      <w:r>
        <w:t xml:space="preserve">Designer's note</w:t>
      </w:r>
    </w:p>
    <w:p>
      <w:r>
        <w:t xml:space="preserve">The role folder gives strong professional standards and adjacent Marriott adverts. The exact Executive Sous Chef title and its boundaries at the learner’s hotel remain the main confirmation gap.</w:t>
      </w:r>
    </w:p>
    <w:p>
      <w:r>
        <w:rPr>
          <w:i/>
        </w:rPr>
        <w:t xml:space="preserve">Springpod research · 2026-09-22</w:t>
      </w:r>
    </w:p>
    <w:p>
      <w:pPr>
        <w:spacing w:after="160"/>
      </w:pPr>
      <w:r>
        <w:rPr>
          <w:rFonts w:ascii="Arial" w:cs="Arial" w:eastAsia="Arial" w:hAnsi="Arial"/>
          <w:i/>
          <w:iCs/>
          <w:color w:val="777777"/>
          <w:sz w:val="18"/>
          <w:szCs w:val="18"/>
        </w:rPr>
        <w:t xml:space="preserve">Folder 02-role · tier 3, or tier 2 where the organisation's own pages say it</w:t>
      </w:r>
    </w:p>
    <w:p>
      <w:pPr>
        <w:spacing w:after="80"/>
      </w:pPr>
      <w:r>
        <w:rPr>
          <w:rFonts w:ascii="Arial" w:cs="Arial" w:eastAsia="Arial" w:hAnsi="Arial"/>
          <w:b/>
          <w:bCs/>
          <w:color w:val="555555"/>
          <w:sz w:val="20"/>
          <w:szCs w:val="20"/>
        </w:rPr>
        <w:t xml:space="preserve">The title — </w:t>
      </w:r>
      <w:r>
        <w:rPr>
          <w:rFonts w:ascii="Arial" w:cs="Arial" w:eastAsia="Arial" w:hAnsi="Arial"/>
          <w:b w:val="false"/>
          <w:bCs w:val="false"/>
          <w:i/>
          <w:iCs/>
          <w:color w:val="8A8A8A"/>
          <w:sz w:val="20"/>
          <w:szCs w:val="20"/>
        </w:rPr>
        <w:t xml:space="preserve">[As the organisation writes it, and any other name the same job goes by elsewhere.]</w:t>
      </w:r>
    </w:p>
    <w:p>
      <w:pPr>
        <w:spacing w:after="80"/>
      </w:pPr>
      <w:r>
        <w:t xml:space="preserve">The apprenticeship standard — The Senior Culinary Chef (Level 4) apprenticeship is the closest professional standard for executive kitchen leadership roles. · Tier 3 · Senior culinary chef — apprenticeship standard ST0864 · 2026-09-22</w:t>
      </w:r>
    </w:p>
    <w:p>
      <w:pPr>
        <w:spacing w:after="60" w:before="160"/>
      </w:pPr>
      <w:r>
        <w:rPr>
          <w:rFonts w:ascii="Arial" w:cs="Arial" w:eastAsia="Arial" w:hAnsi="Arial"/>
          <w:b/>
          <w:bCs/>
          <w:sz w:val="20"/>
          <w:szCs w:val="20"/>
        </w:rPr>
        <w:t xml:space="preserve">The duties, from the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400"/>
      </w:tblGrid>
      <w:tr>
        <w:trPr>
          <w:tblHeader/>
        </w:trPr>
        <w:tc>
          <w:tcPr>
            <w:tcW w:type="dxa" w:w="3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Duty</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means on this job</w:t>
            </w:r>
          </w:p>
        </w:tc>
        <w:tc>
          <w:tcPr>
            <w:tcW w:type="dxa" w:w="3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Which part of the chapter it could feed</w:t>
            </w:r>
          </w:p>
        </w:tc>
      </w:tr>
      <w:tr>
        <w:trPr>
          <w:tblHeader w:val="false"/>
        </w:trPr>
        <w:tc>
          <w:tcPr>
            <w:tcW w:type="dxa" w:w="3400"/>
            <w:tcMar>
              <w:top w:type="dxa" w:w="60"/>
              <w:left w:type="dxa" w:w="100"/>
              <w:bottom w:type="dxa" w:w="60"/>
              <w:right w:type="dxa" w:w="100"/>
            </w:tcMar>
          </w:tcPr>
          <w:p>
            <w:pPr>
              <w:spacing w:after="40"/>
            </w:pPr>
            <w:r>
              <w:t xml:space="preserve">Lead the staff and managing all food related functions for the the hotel</w:t>
            </w:r>
          </w:p>
        </w:tc>
        <w:tc>
          <w:tcPr>
            <w:tcW w:type="dxa" w:w="3600"/>
            <w:tcMar>
              <w:top w:type="dxa" w:w="60"/>
              <w:left w:type="dxa" w:w="100"/>
              <w:bottom w:type="dxa" w:w="60"/>
              <w:right w:type="dxa" w:w="100"/>
            </w:tcMar>
          </w:tcPr>
          <w:p>
            <w:pPr>
              <w:spacing w:after="40"/>
            </w:pPr>
            <w:r>
              <w:t xml:space="preserve">Running the kitchen team and making sure all food operations in the hotel work correctly.</w:t>
            </w:r>
          </w:p>
        </w:tc>
        <w:tc>
          <w:tcPr>
            <w:tcW w:type="dxa" w:w="3400"/>
            <w:tcMar>
              <w:top w:type="dxa" w:w="60"/>
              <w:left w:type="dxa" w:w="100"/>
              <w:bottom w:type="dxa" w:w="60"/>
              <w:right w:type="dxa" w:w="100"/>
            </w:tcMar>
          </w:tcPr>
          <w:p>
            <w:pPr>
              <w:spacing w:after="40"/>
            </w:pPr>
            <w:r>
              <w:t xml:space="preserve">workflow</w:t>
            </w:r>
          </w:p>
        </w:tc>
      </w:tr>
    </w:tbl>
    <w:p>
      <w:pPr>
        <w:spacing w:after="60"/>
      </w:pPr>
      <w:r>
        <w:rPr>
          <w:rFonts w:ascii="Arial" w:cs="Arial" w:eastAsia="Arial" w:hAnsi="Arial"/>
          <w:sz w:val="20"/>
          <w:szCs w:val="20"/>
        </w:rPr>
        <w:t xml:space="preserve"/>
      </w:r>
    </w:p>
    <w:p>
      <w:pPr>
        <w:spacing w:after="80"/>
      </w:pPr>
      <w:r>
        <w:t xml:space="preserve">National Careers Service profile — The National Careers Service classifies this role under the general 'Chef' profile, where experienced chefs can earn up to £40,000. · Tier 3 · Chef — National Careers Service job profile · 2026-09-22</w:t>
      </w:r>
    </w:p>
    <w:p>
      <w:pPr>
        <w:spacing w:after="80"/>
      </w:pPr>
      <w:r>
        <w:t xml:space="preserve">The professional body — The Craft Guild of Chefs is the UK's leading professional association for chefs, committed to advancing culinary knowledge and skills. · Tier 3 · Craft Guild of Chefs — the professional body · 2026-09-22</w:t>
      </w:r>
    </w:p>
    <w:p>
      <w:pPr>
        <w:spacing w:after="60" w:before="160"/>
      </w:pPr>
      <w:r>
        <w:rPr>
          <w:rFonts w:ascii="Arial" w:cs="Arial" w:eastAsia="Arial" w:hAnsi="Arial"/>
          <w:b/>
          <w:bCs/>
          <w:sz w:val="20"/>
          <w:szCs w:val="20"/>
        </w:rPr>
        <w:t xml:space="preserve">Job adverts and apprenticeship listings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2600"/>
        <w:gridCol w:w="1400"/>
        <w:gridCol w:w="1200"/>
      </w:tblGrid>
      <w:tr>
        <w:trPr>
          <w:tblHeader/>
        </w:trPr>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Advert</w:t>
            </w:r>
          </w:p>
        </w:tc>
        <w:tc>
          <w:tcPr>
            <w:tcW w:type="dxa" w:w="1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Site and team</w:t>
            </w:r>
          </w:p>
        </w:tc>
        <w:tc>
          <w:tcPr>
            <w:tcW w:type="dxa" w:w="15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Shift pattern</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Systems and equipment named</w:t>
            </w:r>
          </w:p>
        </w:tc>
        <w:tc>
          <w:tcPr>
            <w:tcW w:type="dxa" w:w="1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Saved as</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A day in the role — </w:t>
      </w:r>
      <w:r>
        <w:rPr>
          <w:rFonts w:ascii="Arial" w:cs="Arial" w:eastAsia="Arial" w:hAnsi="Arial"/>
          <w:b w:val="false"/>
          <w:bCs w:val="false"/>
          <w:i/>
          <w:iCs/>
          <w:color w:val="8A8A8A"/>
          <w:sz w:val="20"/>
          <w:szCs w:val="20"/>
        </w:rPr>
        <w:t xml:space="preserve">[What the adverts, blogs and "day in the life" posts say the day looks like: the moments in order, the people around the role, what they check, where they eat lunch. Source for each.]</w:t>
      </w:r>
    </w:p>
    <w:p>
      <w:pPr>
        <w:spacing w:after="60" w:before="160"/>
      </w:pPr>
      <w:r>
        <w:rPr>
          <w:rFonts w:ascii="Arial" w:cs="Arial" w:eastAsia="Arial" w:hAnsi="Arial"/>
          <w:b/>
          <w:bCs/>
          <w:sz w:val="20"/>
          <w:szCs w:val="20"/>
        </w:rPr>
        <w:t xml:space="preserve">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400"/>
      </w:tblGrid>
      <w:tr>
        <w:trPr>
          <w:tblHeader/>
        </w:trPr>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Term</w:t>
            </w:r>
          </w:p>
        </w:tc>
        <w:tc>
          <w:tcPr>
            <w:tcW w:type="dxa" w:w="5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means, plainly</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bl>
    <w:p>
      <w:pPr>
        <w:spacing w:after="60"/>
      </w:pPr>
      <w:r>
        <w:rPr>
          <w:rFonts w:ascii="Arial" w:cs="Arial" w:eastAsia="Arial" w:hAnsi="Arial"/>
          <w:sz w:val="20"/>
          <w:szCs w:val="20"/>
        </w:rPr>
        <w:t xml:space="preserve"/>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Craft Guild of Chefs — the professional body</w:t>
            </w:r>
          </w:p>
        </w:tc>
        <w:tc>
          <w:tcPr>
            <w:tcW w:type="auto" w:w="0"/>
          </w:tcPr>
          <w:p>
            <w:r>
              <w:t xml:space="preserve">3</w:t>
            </w:r>
          </w:p>
        </w:tc>
        <w:tc>
          <w:tcPr>
            <w:tcW w:type="auto" w:w="0"/>
          </w:tcPr>
          <w:p>
            <w:r>
              <w:t xml:space="preserve">Professional body</w:t>
            </w:r>
          </w:p>
        </w:tc>
        <w:tc>
          <w:tcPr>
            <w:tcW w:type="auto" w:w="0"/>
          </w:tcPr>
          <w:p>
            <w:r>
              <w:t xml:space="preserve">2026-09-22</w:t>
            </w:r>
          </w:p>
        </w:tc>
      </w:tr>
      <w:tr>
        <w:tc>
          <w:tcPr>
            <w:tcW w:type="auto" w:w="0"/>
          </w:tcPr>
          <w:p>
            <w:r>
              <w:t xml:space="preserve">Chef de partie — apprenticeship standard ST0227</w:t>
            </w:r>
          </w:p>
        </w:tc>
        <w:tc>
          <w:tcPr>
            <w:tcW w:type="auto" w:w="0"/>
          </w:tcPr>
          <w:p>
            <w:r>
              <w:t xml:space="preserve">3</w:t>
            </w:r>
          </w:p>
        </w:tc>
        <w:tc>
          <w:tcPr>
            <w:tcW w:type="auto" w:w="0"/>
          </w:tcPr>
          <w:p>
            <w:r>
              <w:t xml:space="preserve">No facts yet</w:t>
            </w:r>
          </w:p>
        </w:tc>
        <w:tc>
          <w:tcPr>
            <w:tcW w:type="auto" w:w="0"/>
          </w:tcPr>
          <w:p>
            <w:r>
              <w:t xml:space="preserve">2026-09-22</w:t>
            </w:r>
          </w:p>
        </w:tc>
      </w:tr>
      <w:tr>
        <w:tc>
          <w:tcPr>
            <w:tcW w:type="auto" w:w="0"/>
          </w:tcPr>
          <w:p>
            <w:r>
              <w:t xml:space="preserve">Senior culinary chef — apprenticeship standard ST0864</w:t>
            </w:r>
          </w:p>
        </w:tc>
        <w:tc>
          <w:tcPr>
            <w:tcW w:type="auto" w:w="0"/>
          </w:tcPr>
          <w:p>
            <w:r>
              <w:t xml:space="preserve">3</w:t>
            </w:r>
          </w:p>
        </w:tc>
        <w:tc>
          <w:tcPr>
            <w:tcW w:type="auto" w:w="0"/>
          </w:tcPr>
          <w:p>
            <w:r>
              <w:t xml:space="preserve">Apprenticeship standard</w:t>
            </w:r>
          </w:p>
        </w:tc>
        <w:tc>
          <w:tcPr>
            <w:tcW w:type="auto" w:w="0"/>
          </w:tcPr>
          <w:p>
            <w:r>
              <w:t xml:space="preserve">2026-09-22</w:t>
            </w:r>
          </w:p>
        </w:tc>
      </w:tr>
      <w:tr>
        <w:tc>
          <w:tcPr>
            <w:tcW w:type="auto" w:w="0"/>
          </w:tcPr>
          <w:p>
            <w:r>
              <w:t xml:space="preserve">Chef — National Careers Service job profile</w:t>
            </w:r>
          </w:p>
        </w:tc>
        <w:tc>
          <w:tcPr>
            <w:tcW w:type="auto" w:w="0"/>
          </w:tcPr>
          <w:p>
            <w:r>
              <w:t xml:space="preserve">3</w:t>
            </w:r>
          </w:p>
        </w:tc>
        <w:tc>
          <w:tcPr>
            <w:tcW w:type="auto" w:w="0"/>
          </w:tcPr>
          <w:p>
            <w:r>
              <w:t xml:space="preserve">National Careers Service profile</w:t>
            </w:r>
          </w:p>
        </w:tc>
        <w:tc>
          <w:tcPr>
            <w:tcW w:type="auto" w:w="0"/>
          </w:tcPr>
          <w:p>
            <w:r>
              <w:t xml:space="preserve">2026-09-22</w:t>
            </w:r>
          </w:p>
        </w:tc>
      </w:tr>
      <w:tr>
        <w:tc>
          <w:tcPr>
            <w:tcW w:type="auto" w:w="0"/>
          </w:tcPr>
          <w:p>
            <w:r>
              <w:t xml:space="preserve">A-Day-with-the-Sous-Chef-at-One-of</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Executive Sous Chef (art'otel): Career Simulation Scripts</w:t>
            </w:r>
          </w:p>
        </w:tc>
        <w:tc>
          <w:tcPr>
            <w:tcW w:type="auto" w:w="0"/>
          </w:tcPr>
          <w:p>
            <w:r>
              <w:t xml:space="preserve">4</w:t>
            </w:r>
          </w:p>
        </w:tc>
        <w:tc>
          <w:tcPr>
            <w:tcW w:type="auto" w:w="0"/>
          </w:tcPr>
          <w:p>
            <w:r>
              <w:t xml:space="preserve">No facts yet</w:t>
            </w:r>
          </w:p>
        </w:tc>
        <w:tc>
          <w:tcPr>
            <w:tcW w:type="auto" w:w="0"/>
          </w:tcPr>
          <w:p>
            <w:r>
              <w:t xml:space="preserve">2026-09-22</w:t>
            </w:r>
          </w:p>
        </w:tc>
      </w:tr>
      <w:tr>
        <w:tc>
          <w:tcPr>
            <w:tcW w:type="auto" w:w="0"/>
          </w:tcPr>
          <w:p>
            <w:r>
              <w:t xml:space="preserve">Hotel-Sous-Chef</w:t>
            </w:r>
          </w:p>
        </w:tc>
        <w:tc>
          <w:tcPr>
            <w:tcW w:type="auto" w:w="0"/>
          </w:tcPr>
          <w:p>
            <w:r>
              <w:t xml:space="preserve">2</w:t>
            </w:r>
          </w:p>
        </w:tc>
        <w:tc>
          <w:tcPr>
            <w:tcW w:type="auto" w:w="0"/>
          </w:tcPr>
          <w:p>
            <w:r>
              <w:t xml:space="preserve">Duties</w:t>
            </w:r>
          </w:p>
        </w:tc>
        <w:tc>
          <w:tcPr>
            <w:tcW w:type="auto" w:w="0"/>
          </w:tcPr>
          <w:p>
            <w:r>
              <w:t xml:space="preserve">2026-09-22</w:t>
            </w:r>
          </w:p>
        </w:tc>
      </w:tr>
      <w:tr>
        <w:tc>
          <w:tcPr>
            <w:tcW w:type="auto" w:w="0"/>
          </w:tcPr>
          <w:p>
            <w:r>
              <w:t xml:space="preserve">Junior-Sous-Chef-London-Marriott</w:t>
            </w:r>
          </w:p>
        </w:tc>
        <w:tc>
          <w:tcPr>
            <w:tcW w:type="auto" w:w="0"/>
          </w:tcPr>
          <w:p>
            <w:r>
              <w:t xml:space="preserve">2</w:t>
            </w:r>
          </w:p>
        </w:tc>
        <w:tc>
          <w:tcPr>
            <w:tcW w:type="auto" w:w="0"/>
          </w:tcPr>
          <w:p>
            <w:r>
              <w:t xml:space="preserve">No facts yet</w:t>
            </w:r>
          </w:p>
        </w:tc>
        <w:tc>
          <w:tcPr>
            <w:tcW w:type="auto" w:w="0"/>
          </w:tcPr>
          <w:p>
            <w:r>
              <w:t xml:space="preserve">2026-09-22</w:t>
            </w:r>
          </w:p>
        </w:tc>
      </w:tr>
      <w:tr>
        <w:tc>
          <w:tcPr>
            <w:tcW w:type="auto" w:w="0"/>
          </w:tcPr>
          <w:p>
            <w:r>
              <w:t xml:space="preserve">Senior-Sous-Chef,-Pre-Opening-The</w:t>
            </w:r>
          </w:p>
        </w:tc>
        <w:tc>
          <w:tcPr>
            <w:tcW w:type="auto" w:w="0"/>
          </w:tcPr>
          <w:p>
            <w:r>
              <w:t xml:space="preserve">2</w:t>
            </w:r>
          </w:p>
        </w:tc>
        <w:tc>
          <w:tcPr>
            <w:tcW w:type="auto" w:w="0"/>
          </w:tcPr>
          <w:p>
            <w:r>
              <w:t xml:space="preserve">No facts yet</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3. Case material</w:t>
      </w:r>
    </w:p>
    <w:p>
      <w:pPr>
        <w:spacing w:after="160"/>
      </w:pPr>
      <w:r>
        <w:rPr>
          <w:rFonts w:ascii="Arial" w:cs="Arial" w:eastAsia="Arial" w:hAnsi="Arial"/>
          <w:i/>
          <w:iCs/>
          <w:color w:val="777777"/>
          <w:sz w:val="18"/>
          <w:szCs w:val="18"/>
        </w:rPr>
        <w:t xml:space="preserve">Folder 03-case-material · tier 3</w:t>
      </w:r>
    </w:p>
    <w:p>
      <w:pPr>
        <w:spacing w:after="80"/>
      </w:pPr>
      <w:r>
        <w:t xml:space="preserve">The routine — Food preparation accounts for 45% of the food waste generated in hospitality outlets. · Tier 3 · Food waste in UK hospitality and food service · 2026-09-22</w:t>
      </w:r>
    </w:p>
    <w:p>
      <w:pPr>
        <w:spacing w:after="60" w:before="160"/>
      </w:pPr>
      <w:r>
        <w:rPr>
          <w:rFonts w:ascii="Arial" w:cs="Arial" w:eastAsia="Arial" w:hAnsi="Arial"/>
          <w:b/>
          <w:bCs/>
          <w:sz w:val="20"/>
          <w:szCs w:val="20"/>
        </w:rPr>
        <w:t xml:space="preserve">What is measured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3200"/>
      </w:tblGrid>
      <w:tr>
        <w:trPr>
          <w:tblHeader/>
        </w:trPr>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Reading</w:t>
            </w:r>
          </w:p>
        </w:tc>
        <w:tc>
          <w:tcPr>
            <w:tcW w:type="dxa" w:w="1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Unit</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Review line</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Limit or stop</w:t>
            </w:r>
          </w:p>
        </w:tc>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the number comes from</w:t>
            </w:r>
          </w:p>
        </w:tc>
      </w:tr>
      <w:tr>
        <w:trPr>
          <w:tblHeader w:val="false"/>
        </w:trPr>
        <w:tc>
          <w:tcPr>
            <w:tcW w:type="dxa" w:w="2200"/>
            <w:tcMar>
              <w:top w:type="dxa" w:w="60"/>
              <w:left w:type="dxa" w:w="100"/>
              <w:bottom w:type="dxa" w:w="60"/>
              <w:right w:type="dxa" w:w="100"/>
            </w:tcMar>
          </w:tcPr>
          <w:p>
            <w:pPr>
              <w:spacing w:after="40"/>
            </w:pPr>
            <w:r>
              <w:t xml:space="preserve">In England, Wales, and Northern Ireland, the legal temperature limit for chilled food is 8°C or below.</w:t>
            </w:r>
          </w:p>
        </w:tc>
        <w:tc>
          <w:tcPr>
            <w:tcW w:type="dxa" w:w="1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3200"/>
            <w:tcMar>
              <w:top w:type="dxa" w:w="60"/>
              <w:left w:type="dxa" w:w="100"/>
              <w:bottom w:type="dxa" w:w="60"/>
              <w:right w:type="dxa" w:w="100"/>
            </w:tcMar>
          </w:tcPr>
          <w:p>
            <w:pPr>
              <w:spacing w:after="40"/>
            </w:pPr>
            <w:r>
              <w:t xml:space="preserve"/>
            </w:r>
          </w:p>
        </w:tc>
      </w:tr>
      <w:tr>
        <w:trPr>
          <w:tblHeader w:val="false"/>
        </w:trPr>
        <w:tc>
          <w:tcPr>
            <w:tcW w:type="dxa" w:w="2200"/>
            <w:tcMar>
              <w:top w:type="dxa" w:w="60"/>
              <w:left w:type="dxa" w:w="100"/>
              <w:bottom w:type="dxa" w:w="60"/>
              <w:right w:type="dxa" w:w="100"/>
            </w:tcMar>
          </w:tcPr>
          <w:p>
            <w:pPr>
              <w:spacing w:after="40"/>
            </w:pPr>
            <w:r>
              <w:t xml:space="preserve">Hot food for service or display must be held at a temperature of 63°C or above.</w:t>
            </w:r>
          </w:p>
        </w:tc>
        <w:tc>
          <w:tcPr>
            <w:tcW w:type="dxa" w:w="1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3200"/>
            <w:tcMar>
              <w:top w:type="dxa" w:w="60"/>
              <w:left w:type="dxa" w:w="100"/>
              <w:bottom w:type="dxa" w:w="60"/>
              <w:right w:type="dxa" w:w="100"/>
            </w:tcMar>
          </w:tcPr>
          <w:p>
            <w:pPr>
              <w:spacing w:after="40"/>
            </w:pPr>
            <w:r>
              <w:t xml:space="preserve"/>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Equipment and instruments — </w:t>
      </w:r>
      <w:r>
        <w:rPr>
          <w:rFonts w:ascii="Arial" w:cs="Arial" w:eastAsia="Arial" w:hAnsi="Arial"/>
          <w:b w:val="false"/>
          <w:bCs w:val="false"/>
          <w:i/>
          <w:iCs/>
          <w:color w:val="8A8A8A"/>
          <w:sz w:val="20"/>
          <w:szCs w:val="20"/>
        </w:rPr>
        <w:t xml:space="preserve">[What the role reads, uses and maintains, with the manufacturer's public manual or datasheet if there is one.]</w:t>
      </w:r>
    </w:p>
    <w:p>
      <w:pPr>
        <w:spacing w:after="60" w:before="160"/>
      </w:pPr>
      <w:r>
        <w:rPr>
          <w:rFonts w:ascii="Arial" w:cs="Arial" w:eastAsia="Arial" w:hAnsi="Arial"/>
          <w:b/>
          <w:bCs/>
          <w:sz w:val="20"/>
          <w:szCs w:val="20"/>
        </w:rPr>
        <w:t xml:space="preserve">What typically goes wrong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600"/>
        <w:gridCol w:w="2200"/>
      </w:tblGrid>
      <w:tr>
        <w:trPr>
          <w:tblHeader/>
        </w:trPr>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Problem</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Likely causes</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How it is checked</w:t>
            </w:r>
          </w:p>
        </w:tc>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r>
      <w:tr>
        <w:trPr>
          <w:tblHeader w:val="false"/>
        </w:trPr>
        <w:tc>
          <w:tcPr>
            <w:tcW w:type="dxa" w:w="2800"/>
            <w:tcMar>
              <w:top w:type="dxa" w:w="60"/>
              <w:left w:type="dxa" w:w="100"/>
              <w:bottom w:type="dxa" w:w="60"/>
              <w:right w:type="dxa" w:w="100"/>
            </w:tcMar>
          </w:tcPr>
          <w:p>
            <w:pPr>
              <w:spacing w:after="40"/>
            </w:pPr>
            <w:r>
              <w:t xml:space="preserve">Incomplete or missing food safety logs</w:t>
            </w:r>
          </w:p>
        </w:tc>
        <w:tc>
          <w:tcPr>
            <w:tcW w:type="dxa" w:w="2800"/>
            <w:tcMar>
              <w:top w:type="dxa" w:w="60"/>
              <w:left w:type="dxa" w:w="100"/>
              <w:bottom w:type="dxa" w:w="60"/>
              <w:right w:type="dxa" w:w="100"/>
            </w:tcMar>
          </w:tcPr>
          <w:p>
            <w:pPr>
              <w:spacing w:after="40"/>
            </w:pPr>
            <w:r>
              <w:t xml:space="preserve">Staff training gaps; Operational pressure; System negligence</w:t>
            </w:r>
          </w:p>
        </w:tc>
        <w:tc>
          <w:tcPr>
            <w:tcW w:type="dxa" w:w="2600"/>
            <w:tcMar>
              <w:top w:type="dxa" w:w="60"/>
              <w:left w:type="dxa" w:w="100"/>
              <w:bottom w:type="dxa" w:w="60"/>
              <w:right w:type="dxa" w:w="100"/>
            </w:tcMar>
          </w:tcPr>
          <w:p>
            <w:pPr>
              <w:spacing w:after="40"/>
            </w:pPr>
            <w:r>
              <w:t xml:space="preserve">Local authority food safety inspection of management systems</w:t>
            </w:r>
          </w:p>
        </w:tc>
        <w:tc>
          <w:tcPr>
            <w:tcW w:type="dxa" w:w="2200"/>
            <w:tcMar>
              <w:top w:type="dxa" w:w="60"/>
              <w:left w:type="dxa" w:w="100"/>
              <w:bottom w:type="dxa" w:w="60"/>
              <w:right w:type="dxa" w:w="100"/>
            </w:tcMar>
          </w:tcPr>
          <w:p>
            <w:pPr>
              <w:spacing w:after="40"/>
            </w:pPr>
            <w:r>
              <w:t xml:space="preserve">3</w:t>
            </w:r>
          </w:p>
        </w:tc>
      </w:tr>
    </w:tbl>
    <w:p>
      <w:pPr>
        <w:spacing w:after="60"/>
      </w:pPr>
      <w:r>
        <w:rPr>
          <w:rFonts w:ascii="Arial" w:cs="Arial" w:eastAsia="Arial" w:hAnsi="Arial"/>
          <w:sz w:val="20"/>
          <w:szCs w:val="20"/>
        </w:rPr>
        <w:t xml:space="preserve"/>
      </w:r>
    </w:p>
    <w:p>
      <w:pPr>
        <w:spacing w:after="80"/>
      </w:pPr>
      <w:r>
        <w:t xml:space="preserve">Safety rules that shape a stop — There are 14 regulated allergens in the UK that must be declared to customers by law. · Tier 3 · The 14 regulated allergens · 2026-09-22</w:t>
      </w:r>
    </w:p>
    <w:p>
      <w:pPr>
        <w:spacing w:after="80"/>
      </w:pPr>
      <w:r>
        <w:t xml:space="preserve">The people in the room — A food safety officer from the local authority inspects businesses to verify compliance with food hygiene law. · Tier 3 · Food Hygiene Rating Scheme — what an inspection actually looks at · 2026-09-22</w:t>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Temperature control law — the review lines and limits</w:t>
            </w:r>
          </w:p>
        </w:tc>
        <w:tc>
          <w:tcPr>
            <w:tcW w:type="auto" w:w="0"/>
          </w:tcPr>
          <w:p>
            <w:r>
              <w:t xml:space="preserve">3</w:t>
            </w:r>
          </w:p>
        </w:tc>
        <w:tc>
          <w:tcPr>
            <w:tcW w:type="auto" w:w="0"/>
          </w:tcPr>
          <w:p>
            <w:r>
              <w:t xml:space="preserve">Measurements and limits</w:t>
            </w:r>
          </w:p>
        </w:tc>
        <w:tc>
          <w:tcPr>
            <w:tcW w:type="auto" w:w="0"/>
          </w:tcPr>
          <w:p>
            <w:r>
              <w:t xml:space="preserve">2026-09-22</w:t>
            </w:r>
          </w:p>
        </w:tc>
      </w:tr>
      <w:tr>
        <w:tc>
          <w:tcPr>
            <w:tcW w:type="auto" w:w="0"/>
          </w:tcPr>
          <w:p>
            <w:r>
              <w:t xml:space="preserve">The 14 regulated allergens</w:t>
            </w:r>
          </w:p>
        </w:tc>
        <w:tc>
          <w:tcPr>
            <w:tcW w:type="auto" w:w="0"/>
          </w:tcPr>
          <w:p>
            <w:r>
              <w:t xml:space="preserve">3</w:t>
            </w:r>
          </w:p>
        </w:tc>
        <w:tc>
          <w:tcPr>
            <w:tcW w:type="auto" w:w="0"/>
          </w:tcPr>
          <w:p>
            <w:r>
              <w:t xml:space="preserve">Safety rules people actually follow</w:t>
            </w:r>
          </w:p>
        </w:tc>
        <w:tc>
          <w:tcPr>
            <w:tcW w:type="auto" w:w="0"/>
          </w:tcPr>
          <w:p>
            <w:r>
              <w:t xml:space="preserve">2026-09-22</w:t>
            </w:r>
          </w:p>
        </w:tc>
      </w:tr>
      <w:tr>
        <w:tc>
          <w:tcPr>
            <w:tcW w:type="auto" w:w="0"/>
          </w:tcPr>
          <w:p>
            <w:r>
              <w:t xml:space="preserve">Food Hygiene Rating Scheme — what an inspection actually looks at</w:t>
            </w:r>
          </w:p>
        </w:tc>
        <w:tc>
          <w:tcPr>
            <w:tcW w:type="auto" w:w="0"/>
          </w:tcPr>
          <w:p>
            <w:r>
              <w:t xml:space="preserve">3</w:t>
            </w:r>
          </w:p>
        </w:tc>
        <w:tc>
          <w:tcPr>
            <w:tcW w:type="auto" w:w="0"/>
          </w:tcPr>
          <w:p>
            <w:r>
              <w:t xml:space="preserve">Faults and how they are checked; People around the role</w:t>
            </w:r>
          </w:p>
        </w:tc>
        <w:tc>
          <w:tcPr>
            <w:tcW w:type="auto" w:w="0"/>
          </w:tcPr>
          <w:p>
            <w:r>
              <w:t xml:space="preserve">2026-09-22</w:t>
            </w:r>
          </w:p>
        </w:tc>
      </w:tr>
      <w:tr>
        <w:tc>
          <w:tcPr>
            <w:tcW w:type="auto" w:w="0"/>
          </w:tcPr>
          <w:p>
            <w:r>
              <w:t xml:space="preserve">Food waste in UK hospitality and food service</w:t>
            </w:r>
          </w:p>
        </w:tc>
        <w:tc>
          <w:tcPr>
            <w:tcW w:type="auto" w:w="0"/>
          </w:tcPr>
          <w:p>
            <w:r>
              <w:t xml:space="preserve">3</w:t>
            </w:r>
          </w:p>
        </w:tc>
        <w:tc>
          <w:tcPr>
            <w:tcW w:type="auto" w:w="0"/>
          </w:tcPr>
          <w:p>
            <w:r>
              <w:t xml:space="preserve">The routine</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4. Media</w:t>
      </w:r>
    </w:p>
    <w:p>
      <w:pPr>
        <w:spacing w:after="160"/>
      </w:pPr>
      <w:r>
        <w:rPr>
          <w:rFonts w:ascii="Arial" w:cs="Arial" w:eastAsia="Arial" w:hAnsi="Arial"/>
          <w:i/>
          <w:iCs/>
          <w:color w:val="777777"/>
          <w:sz w:val="18"/>
          <w:szCs w:val="18"/>
        </w:rPr>
        <w:t xml:space="preserve">Folder 04-media · tier 2 for the organisation's own films, tier 3 for others</w:t>
      </w:r>
    </w:p>
    <w:p>
      <w:pPr>
        <w:spacing w:after="100"/>
      </w:pPr>
      <w:r>
        <w:rPr>
          <w:rFonts w:ascii="Arial" w:cs="Arial" w:eastAsia="Arial" w:hAnsi="Arial"/>
          <w:sz w:val="20"/>
          <w:szCs w:val="20"/>
        </w:rPr>
        <w:t xml:space="preserve">Every film is transcribed to a text file beside it: the model reads text, not video. Stills lifted from the organisation's own films carry the film's name and the timecode. Nothing goes into a chapter without a rights note.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600"/>
        <w:gridCol w:w="1900"/>
        <w:gridCol w:w="1600"/>
        <w:gridCol w:w="1500"/>
      </w:tblGrid>
      <w:tr>
        <w:trPr>
          <w:tblHeader/>
        </w:trPr>
        <w:tc>
          <w:tcPr>
            <w:tcW w:type="dxa" w:w="1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File</w:t>
            </w:r>
          </w:p>
        </w:tc>
        <w:tc>
          <w:tcPr>
            <w:tcW w:type="dxa" w:w="21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shows or says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from</w:t>
            </w:r>
          </w:p>
        </w:tc>
        <w:tc>
          <w:tcPr>
            <w:tcW w:type="dxa" w:w="19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Rights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Transcript</w:t>
            </w:r>
          </w:p>
        </w:tc>
        <w:tc>
          <w:tcPr>
            <w:tcW w:type="dxa" w:w="15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bl>
    <w:p>
      <w:pPr>
        <w:pStyle w:val="Heading2"/>
        <w:spacing w:after="80" w:before="480"/>
      </w:pPr>
      <w:r>
        <w:rPr>
          <w:rFonts w:ascii="Arial" w:cs="Arial" w:eastAsia="Arial" w:hAnsi="Arial"/>
          <w:b/>
          <w:bCs/>
          <w:sz w:val="28"/>
          <w:szCs w:val="28"/>
        </w:rPr>
        <w:t xml:space="preserve">5. Brand</w:t>
      </w:r>
    </w:p>
    <w:p>
      <w:pPr>
        <w:spacing w:after="160"/>
      </w:pPr>
      <w:r>
        <w:rPr>
          <w:rFonts w:ascii="Arial" w:cs="Arial" w:eastAsia="Arial" w:hAnsi="Arial"/>
          <w:i/>
          <w:iCs/>
          <w:color w:val="777777"/>
          <w:sz w:val="18"/>
          <w:szCs w:val="18"/>
        </w:rPr>
        <w:t xml:space="preserve">Folder 05-brand · tier 2, or tier 1 if the supplied by the organisation guidelines</w:t>
      </w:r>
    </w:p>
    <w:p>
      <w:pPr>
        <w:spacing w:after="80"/>
      </w:pPr>
      <w:r>
        <w:t xml:space="preserve">Brand guidelines — Marriott uses a specific guide for its people brand called the People Brand Style Guide. · Tier 1 · Marriott "Be" People Brand — colour, type and voice tokens · 2026-09-22</w:t>
      </w:r>
    </w:p>
    <w:p>
      <w:pPr>
        <w:spacing w:after="80"/>
      </w:pPr>
      <w:r>
        <w:t xml:space="preserve">Logo — The 'Be' logo must always feature a TM symbol and maintain a minimum height. · Tier 1 · Marriott "Be" People Brand — colour, type and voice tokens · 2026-09-22</w:t>
      </w:r>
    </w:p>
    <w:p>
      <w:pPr>
        <w:spacing w:after="60" w:before="160"/>
      </w:pPr>
      <w:r>
        <w:rPr>
          <w:rFonts w:ascii="Arial" w:cs="Arial" w:eastAsia="Arial" w:hAnsi="Arial"/>
          <w:b/>
          <w:bCs/>
          <w:sz w:val="20"/>
          <w:szCs w:val="20"/>
        </w:rPr>
        <w:t xml:space="preserve">Colours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600"/>
      </w:tblGrid>
      <w:tr>
        <w:trPr>
          <w:tblHeader/>
        </w:trPr>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Name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Hex</w:t>
            </w:r>
          </w:p>
        </w:tc>
        <w:tc>
          <w:tcPr>
            <w:tcW w:type="dxa" w:w="5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seen</w:t>
            </w:r>
          </w:p>
        </w:tc>
      </w:tr>
      <w:tr>
        <w:trPr>
          <w:tblHeader w:val="false"/>
        </w:trPr>
        <w:tc>
          <w:tcPr>
            <w:tcW w:type="dxa" w:w="3000"/>
            <w:tcMar>
              <w:top w:type="dxa" w:w="60"/>
              <w:left w:type="dxa" w:w="100"/>
              <w:bottom w:type="dxa" w:w="60"/>
              <w:right w:type="dxa" w:w="100"/>
            </w:tcMar>
          </w:tcPr>
          <w:p>
            <w:pPr>
              <w:spacing w:after="40"/>
            </w:pPr>
            <w:r>
              <w:t xml:space="preserve">Bonvoy Coral</w:t>
            </w:r>
          </w:p>
        </w:tc>
        <w:tc>
          <w:tcPr>
            <w:tcW w:type="dxa" w:w="1800"/>
            <w:tcMar>
              <w:top w:type="dxa" w:w="60"/>
              <w:left w:type="dxa" w:w="100"/>
              <w:bottom w:type="dxa" w:w="60"/>
              <w:right w:type="dxa" w:w="100"/>
            </w:tcMar>
          </w:tcPr>
          <w:p>
            <w:pPr>
              <w:spacing w:after="40"/>
            </w:pPr>
            <w:r>
              <w:t xml:space="preserve">#FF9662</w:t>
            </w:r>
          </w:p>
        </w:tc>
        <w:tc>
          <w:tcPr>
            <w:tcW w:type="dxa" w:w="5600"/>
            <w:tcMar>
              <w:top w:type="dxa" w:w="60"/>
              <w:left w:type="dxa" w:w="100"/>
              <w:bottom w:type="dxa" w:w="60"/>
              <w:right w:type="dxa" w:w="100"/>
            </w:tcMar>
          </w:tcPr>
          <w:p>
            <w:pPr>
              <w:spacing w:after="40"/>
            </w:pPr>
            <w:r>
              <w:t xml:space="preserve">Floods and headlines</w:t>
            </w:r>
          </w:p>
        </w:tc>
      </w:tr>
    </w:tbl>
    <w:p>
      <w:pPr>
        <w:spacing w:after="60"/>
      </w:pPr>
      <w:r>
        <w:rPr>
          <w:rFonts w:ascii="Arial" w:cs="Arial" w:eastAsia="Arial" w:hAnsi="Arial"/>
          <w:sz w:val="20"/>
          <w:szCs w:val="20"/>
        </w:rPr>
        <w:t xml:space="preserve"/>
      </w:r>
    </w:p>
    <w:p>
      <w:pPr>
        <w:spacing w:after="60" w:before="160"/>
      </w:pPr>
      <w:r>
        <w:rPr>
          <w:rFonts w:ascii="Arial" w:cs="Arial" w:eastAsia="Arial" w:hAnsi="Arial"/>
          <w:b/>
          <w:bCs/>
          <w:sz w:val="20"/>
          <w:szCs w:val="20"/>
        </w:rPr>
        <w:t xml:space="preserve">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3000"/>
      </w:tblGrid>
      <w:tr>
        <w:trPr>
          <w:tblHeader/>
        </w:trPr>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Face</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used</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Licence</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bl>
    <w:p>
      <w:pPr>
        <w:spacing w:after="60"/>
      </w:pPr>
      <w:r>
        <w:rPr>
          <w:rFonts w:ascii="Arial" w:cs="Arial" w:eastAsia="Arial" w:hAnsi="Arial"/>
          <w:sz w:val="20"/>
          <w:szCs w:val="20"/>
        </w:rPr>
        <w:t xml:space="preserve"/>
      </w:r>
    </w:p>
    <w:p>
      <w:pPr>
        <w:spacing w:after="80"/>
      </w:pPr>
      <w:r>
        <w:t xml:space="preserve">Photography — Photography should feature candid people and bright, natural light in properties. · Tier 1 · Marriott "Be" People Brand — colour, type and voice tokens · 2026-09-22</w:t>
      </w:r>
    </w:p>
    <w:p>
      <w:pPr>
        <w:spacing w:after="80"/>
      </w:pPr>
      <w:r>
        <w:rPr>
          <w:rFonts w:ascii="Arial" w:cs="Arial" w:eastAsia="Arial" w:hAnsi="Arial"/>
          <w:b/>
          <w:bCs/>
          <w:color w:val="555555"/>
          <w:sz w:val="20"/>
          <w:szCs w:val="20"/>
        </w:rPr>
        <w:t xml:space="preserve">House style — </w:t>
      </w:r>
      <w:r>
        <w:rPr>
          <w:rFonts w:ascii="Arial" w:cs="Arial" w:eastAsia="Arial" w:hAnsi="Arial"/>
          <w:b w:val="false"/>
          <w:bCs w:val="false"/>
          <w:i/>
          <w:iCs/>
          <w:color w:val="8A8A8A"/>
          <w:sz w:val="20"/>
          <w:szCs w:val="20"/>
        </w:rPr>
        <w:t xml:space="preserve">[How the organisation writes its own name and its product names; capitalisation of job titles; words it uses and words it avoids.]</w:t>
      </w:r>
    </w:p>
    <w:p>
      <w:pPr>
        <w:spacing w:after="80"/>
      </w:pPr>
      <w:r>
        <w:rPr>
          <w:rFonts w:ascii="Arial" w:cs="Arial" w:eastAsia="Arial" w:hAnsi="Arial"/>
          <w:b/>
          <w:bCs/>
          <w:color w:val="555555"/>
          <w:sz w:val="20"/>
          <w:szCs w:val="20"/>
        </w:rPr>
        <w:t xml:space="preserve">Screenshots — </w:t>
      </w:r>
      <w:r>
        <w:rPr>
          <w:rFonts w:ascii="Arial" w:cs="Arial" w:eastAsia="Arial" w:hAnsi="Arial"/>
          <w:b w:val="false"/>
          <w:bCs w:val="false"/>
          <w:i/>
          <w:iCs/>
          <w:color w:val="8A8A8A"/>
          <w:sz w:val="20"/>
          <w:szCs w:val="20"/>
        </w:rPr>
        <w:t xml:space="preserve">[The home page, a careers page, an apprenticeship page, with dates: reference only, never for use in a chapter.]</w:t>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Marriott "Be" People Brand — colour, type and voice tokens</w:t>
            </w:r>
          </w:p>
        </w:tc>
        <w:tc>
          <w:tcPr>
            <w:tcW w:type="auto" w:w="0"/>
          </w:tcPr>
          <w:p>
            <w:r>
              <w:t xml:space="preserve">1</w:t>
            </w:r>
          </w:p>
        </w:tc>
        <w:tc>
          <w:tcPr>
            <w:tcW w:type="auto" w:w="0"/>
          </w:tcPr>
          <w:p>
            <w:r>
              <w:t xml:space="preserve">Guidelines and where they live; Logo rules; Colours; Photography</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6. Supplied by the organisation</w:t>
      </w:r>
    </w:p>
    <w:p>
      <w:pPr>
        <w:spacing w:after="160"/>
      </w:pPr>
      <w:r>
        <w:rPr>
          <w:rFonts w:ascii="Arial" w:cs="Arial" w:eastAsia="Arial" w:hAnsi="Arial"/>
          <w:i/>
          <w:iCs/>
          <w:color w:val="777777"/>
          <w:sz w:val="18"/>
          <w:szCs w:val="18"/>
        </w:rPr>
        <w:t xml:space="preserve">Folder 06-organisation-supplied · tier 1 · the first source of truth</w:t>
      </w:r>
    </w:p>
    <w:p>
      <w:pPr>
        <w:spacing w:after="100"/>
      </w:pPr>
      <w:r>
        <w:rPr>
          <w:rFonts w:ascii="Arial" w:cs="Arial" w:eastAsia="Arial" w:hAnsi="Arial"/>
          <w:sz w:val="20"/>
          <w:szCs w:val="20"/>
        </w:rPr>
        <w:t xml:space="preserve">Everything the organisation gave us, whatever kind: documents, brand guidelines, films, names we may use, answers to our questions, and the interview. When anything here disagrees with sections 1 to 5, this section wins, and the rest of the pack fills the gaps.</w:t>
      </w:r>
    </w:p>
    <w:p>
      <w:pPr>
        <w:spacing w:after="60" w:before="160"/>
      </w:pPr>
      <w:r>
        <w:rPr>
          <w:rFonts w:ascii="Arial" w:cs="Arial" w:eastAsia="Arial" w:hAnsi="Arial"/>
          <w:b/>
          <w:bCs/>
          <w:sz w:val="20"/>
          <w:szCs w:val="20"/>
        </w:rPr>
        <w:t xml:space="preserve">Documents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000"/>
        <w:gridCol w:w="2400"/>
      </w:tblGrid>
      <w:tr>
        <w:trPr>
          <w:tblHeader/>
        </w:trPr>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File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From whom</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settles</w:t>
            </w:r>
          </w:p>
        </w:tc>
      </w:tr>
      <w:tr>
        <w:trPr>
          <w:tblHeader w:val="false"/>
        </w:trPr>
        <w:tc>
          <w:tcPr>
            <w:tcW w:type="dxa" w:w="2200"/>
            <w:tcMar>
              <w:top w:type="dxa" w:w="60"/>
              <w:left w:type="dxa" w:w="100"/>
              <w:bottom w:type="dxa" w:w="60"/>
              <w:right w:type="dxa" w:w="100"/>
            </w:tcMar>
          </w:tcPr>
          <w:p>
            <w:pPr>
              <w:spacing w:after="40"/>
            </w:pPr>
            <w:r>
              <w:t xml:space="preserve">The 'Marriott Be People Brand Style Guide' (June 2023) defines the visual and tonal standards for associate-facing content.</w:t>
            </w:r>
          </w:p>
        </w:tc>
        <w:tc>
          <w:tcPr>
            <w:tcW w:type="dxa" w:w="18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
            </w:r>
          </w:p>
        </w:tc>
        <w:tc>
          <w:tcPr>
            <w:tcW w:type="dxa" w:w="20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r>
    </w:tbl>
    <w:p>
      <w:pPr>
        <w:spacing w:after="60"/>
      </w:pPr>
      <w:r>
        <w:rPr>
          <w:rFonts w:ascii="Arial" w:cs="Arial" w:eastAsia="Arial" w:hAnsi="Arial"/>
          <w:sz w:val="20"/>
          <w:szCs w:val="20"/>
        </w:rPr>
        <w:t xml:space="preserve"/>
      </w:r>
    </w:p>
    <w:p>
      <w:pPr>
        <w:spacing w:after="60" w:before="160"/>
      </w:pPr>
      <w:r>
        <w:rPr>
          <w:rFonts w:ascii="Arial" w:cs="Arial" w:eastAsia="Arial" w:hAnsi="Arial"/>
          <w:b/>
          <w:bCs/>
          <w:sz w:val="20"/>
          <w:szCs w:val="20"/>
        </w:rPr>
        <w:t xml:space="preserve">The interview</w:t>
      </w:r>
    </w:p>
    <w:p>
      <w:pPr>
        <w:spacing w:after="80"/>
      </w:pPr>
      <w:r>
        <w:rPr>
          <w:rFonts w:ascii="Arial" w:cs="Arial" w:eastAsia="Arial" w:hAnsi="Arial"/>
          <w:b/>
          <w:bCs/>
          <w:color w:val="555555"/>
          <w:sz w:val="20"/>
          <w:szCs w:val="20"/>
        </w:rPr>
        <w:t xml:space="preserve">Who — </w:t>
      </w:r>
      <w:r>
        <w:rPr>
          <w:rFonts w:ascii="Arial" w:cs="Arial" w:eastAsia="Arial" w:hAnsi="Arial"/>
          <w:b w:val="false"/>
          <w:bCs w:val="false"/>
          <w:i/>
          <w:iCs/>
          <w:color w:val="8A8A8A"/>
          <w:sz w:val="20"/>
          <w:szCs w:val="20"/>
        </w:rPr>
        <w:t xml:space="preserve">[Name, job title, how long in the role; whether they may be named in the chapter.]</w:t>
      </w:r>
    </w:p>
    <w:p>
      <w:pPr>
        <w:spacing w:after="80"/>
      </w:pPr>
      <w:r>
        <w:rPr>
          <w:rFonts w:ascii="Arial" w:cs="Arial" w:eastAsia="Arial" w:hAnsi="Arial"/>
          <w:b/>
          <w:bCs/>
          <w:color w:val="555555"/>
          <w:sz w:val="20"/>
          <w:szCs w:val="20"/>
        </w:rPr>
        <w:t xml:space="preserve">When and how — </w:t>
      </w:r>
      <w:r>
        <w:rPr>
          <w:rFonts w:ascii="Arial" w:cs="Arial" w:eastAsia="Arial" w:hAnsi="Arial"/>
          <w:b w:val="false"/>
          <w:bCs w:val="false"/>
          <w:i/>
          <w:iCs/>
          <w:color w:val="8A8A8A"/>
          <w:sz w:val="20"/>
          <w:szCs w:val="20"/>
        </w:rPr>
        <w:t xml:space="preserve">[Date; in person, call or video; recorded with their agreement.]</w:t>
      </w:r>
    </w:p>
    <w:p>
      <w:pPr>
        <w:spacing w:after="80"/>
      </w:pPr>
      <w:r>
        <w:rPr>
          <w:rFonts w:ascii="Arial" w:cs="Arial" w:eastAsia="Arial" w:hAnsi="Arial"/>
          <w:b/>
          <w:bCs/>
          <w:color w:val="555555"/>
          <w:sz w:val="20"/>
          <w:szCs w:val="20"/>
        </w:rPr>
        <w:t xml:space="preserve">Recording and transcript — </w:t>
      </w:r>
      <w:r>
        <w:rPr>
          <w:rFonts w:ascii="Arial" w:cs="Arial" w:eastAsia="Arial" w:hAnsi="Arial"/>
          <w:b w:val="false"/>
          <w:bCs w:val="false"/>
          <w:i/>
          <w:iCs/>
          <w:color w:val="8A8A8A"/>
          <w:sz w:val="20"/>
          <w:szCs w:val="20"/>
        </w:rPr>
        <w:t xml:space="preserve">[File names in 06-organisation-supplied.]</w:t>
      </w:r>
    </w:p>
    <w:p>
      <w:pPr>
        <w:spacing w:after="60" w:before="160"/>
      </w:pPr>
      <w:r>
        <w:rPr>
          <w:rFonts w:ascii="Arial" w:cs="Arial" w:eastAsia="Arial" w:hAnsi="Arial"/>
          <w:b/>
          <w:bCs/>
          <w:sz w:val="20"/>
          <w:szCs w:val="20"/>
        </w:rPr>
        <w:t xml:space="preserve">Questions to ask (thirty minutes, in this order)</w:t>
      </w:r>
    </w:p>
    <w:p>
      <w:pPr>
        <w:spacing w:after="40"/>
        <w:ind w:left="560" w:hanging="360"/>
      </w:pPr>
      <w:r>
        <w:rPr>
          <w:rFonts w:ascii="Arial" w:cs="Arial" w:eastAsia="Arial" w:hAnsi="Arial"/>
          <w:b/>
          <w:bCs/>
          <w:sz w:val="20"/>
          <w:szCs w:val="20"/>
        </w:rPr>
        <w:t xml:space="preserve">1. </w:t>
      </w:r>
      <w:r>
        <w:rPr>
          <w:rFonts w:ascii="Arial" w:cs="Arial" w:eastAsia="Arial" w:hAnsi="Arial"/>
          <w:sz w:val="20"/>
          <w:szCs w:val="20"/>
        </w:rPr>
        <w:t xml:space="preserve">What does a normal day look like, from arriving to leaving? What are the five moments you would show a sixteen-year-old?</w:t>
      </w:r>
    </w:p>
    <w:p>
      <w:pPr>
        <w:spacing w:after="40"/>
        <w:ind w:left="560" w:hanging="360"/>
      </w:pPr>
      <w:r>
        <w:rPr>
          <w:rFonts w:ascii="Arial" w:cs="Arial" w:eastAsia="Arial" w:hAnsi="Arial"/>
          <w:b/>
          <w:bCs/>
          <w:sz w:val="20"/>
          <w:szCs w:val="20"/>
        </w:rPr>
        <w:t xml:space="preserve">2. </w:t>
      </w:r>
      <w:r>
        <w:rPr>
          <w:rFonts w:ascii="Arial" w:cs="Arial" w:eastAsia="Arial" w:hAnsi="Arial"/>
          <w:sz w:val="20"/>
          <w:szCs w:val="20"/>
        </w:rPr>
        <w:t xml:space="preserve">What is the one routine you do most: a test, a shift, a round, a build, a visit? Who is there and how long does it take?</w:t>
      </w:r>
    </w:p>
    <w:p>
      <w:pPr>
        <w:spacing w:after="40"/>
        <w:ind w:left="560" w:hanging="360"/>
      </w:pPr>
      <w:r>
        <w:rPr>
          <w:rFonts w:ascii="Arial" w:cs="Arial" w:eastAsia="Arial" w:hAnsi="Arial"/>
          <w:b/>
          <w:bCs/>
          <w:sz w:val="20"/>
          <w:szCs w:val="20"/>
        </w:rPr>
        <w:t xml:space="preserve">3. </w:t>
      </w:r>
      <w:r>
        <w:rPr>
          <w:rFonts w:ascii="Arial" w:cs="Arial" w:eastAsia="Arial" w:hAnsi="Arial"/>
          <w:sz w:val="20"/>
          <w:szCs w:val="20"/>
        </w:rPr>
        <w:t xml:space="preserve">During it, what do you watch? What is the reading, what is its unit, and at what point do you pause to review, and at what point do you stop?</w:t>
      </w:r>
    </w:p>
    <w:p>
      <w:pPr>
        <w:spacing w:after="40"/>
        <w:ind w:left="560" w:hanging="360"/>
      </w:pPr>
      <w:r>
        <w:rPr>
          <w:rFonts w:ascii="Arial" w:cs="Arial" w:eastAsia="Arial" w:hAnsi="Arial"/>
          <w:b/>
          <w:bCs/>
          <w:sz w:val="20"/>
          <w:szCs w:val="20"/>
        </w:rPr>
        <w:t xml:space="preserve">4. </w:t>
      </w:r>
      <w:r>
        <w:rPr>
          <w:rFonts w:ascii="Arial" w:cs="Arial" w:eastAsia="Arial" w:hAnsi="Arial"/>
          <w:sz w:val="20"/>
          <w:szCs w:val="20"/>
        </w:rPr>
        <w:t xml:space="preserve">What went wrong last time? What did you think it was, what did you check, and what turned out to be the cause?</w:t>
      </w:r>
    </w:p>
    <w:p>
      <w:pPr>
        <w:spacing w:after="40"/>
        <w:ind w:left="560" w:hanging="360"/>
      </w:pPr>
      <w:r>
        <w:rPr>
          <w:rFonts w:ascii="Arial" w:cs="Arial" w:eastAsia="Arial" w:hAnsi="Arial"/>
          <w:b/>
          <w:bCs/>
          <w:sz w:val="20"/>
          <w:szCs w:val="20"/>
        </w:rPr>
        <w:t xml:space="preserve">5. </w:t>
      </w:r>
      <w:r>
        <w:rPr>
          <w:rFonts w:ascii="Arial" w:cs="Arial" w:eastAsia="Arial" w:hAnsi="Arial"/>
          <w:sz w:val="20"/>
          <w:szCs w:val="20"/>
        </w:rPr>
        <w:t xml:space="preserve">Who else is in the room, and who owns which measurement or sign-off?</w:t>
      </w:r>
    </w:p>
    <w:p>
      <w:pPr>
        <w:spacing w:after="40"/>
        <w:ind w:left="560" w:hanging="360"/>
      </w:pPr>
      <w:r>
        <w:rPr>
          <w:rFonts w:ascii="Arial" w:cs="Arial" w:eastAsia="Arial" w:hAnsi="Arial"/>
          <w:b/>
          <w:bCs/>
          <w:sz w:val="20"/>
          <w:szCs w:val="20"/>
        </w:rPr>
        <w:t xml:space="preserve">6. </w:t>
      </w:r>
      <w:r>
        <w:rPr>
          <w:rFonts w:ascii="Arial" w:cs="Arial" w:eastAsia="Arial" w:hAnsi="Arial"/>
          <w:sz w:val="20"/>
          <w:szCs w:val="20"/>
        </w:rPr>
        <w:t xml:space="preserve">What words does the team use that an outsider would not understand?</w:t>
      </w:r>
    </w:p>
    <w:p>
      <w:pPr>
        <w:spacing w:after="40"/>
        <w:ind w:left="560" w:hanging="360"/>
      </w:pPr>
      <w:r>
        <w:rPr>
          <w:rFonts w:ascii="Arial" w:cs="Arial" w:eastAsia="Arial" w:hAnsi="Arial"/>
          <w:b/>
          <w:bCs/>
          <w:sz w:val="20"/>
          <w:szCs w:val="20"/>
        </w:rPr>
        <w:t xml:space="preserve">7. </w:t>
      </w:r>
      <w:r>
        <w:rPr>
          <w:rFonts w:ascii="Arial" w:cs="Arial" w:eastAsia="Arial" w:hAnsi="Arial"/>
          <w:sz w:val="20"/>
          <w:szCs w:val="20"/>
        </w:rPr>
        <w:t xml:space="preserve">Which sites, systems, product names and figures may we use, and which must we not?</w:t>
      </w:r>
    </w:p>
    <w:p>
      <w:pPr>
        <w:spacing w:after="40"/>
        <w:ind w:left="560" w:hanging="360"/>
      </w:pPr>
      <w:r>
        <w:rPr>
          <w:rFonts w:ascii="Arial" w:cs="Arial" w:eastAsia="Arial" w:hAnsi="Arial"/>
          <w:b/>
          <w:bCs/>
          <w:sz w:val="20"/>
          <w:szCs w:val="20"/>
        </w:rPr>
        <w:t xml:space="preserve">8. </w:t>
      </w:r>
      <w:r>
        <w:rPr>
          <w:rFonts w:ascii="Arial" w:cs="Arial" w:eastAsia="Arial" w:hAnsi="Arial"/>
          <w:sz w:val="20"/>
          <w:szCs w:val="20"/>
        </w:rPr>
        <w:t xml:space="preserve">Who checks the storyboard for accuracy, and who signs it off?</w:t>
      </w:r>
    </w:p>
    <w:p>
      <w:pPr>
        <w:spacing w:after="60" w:before="160"/>
      </w:pPr>
      <w:r>
        <w:rPr>
          <w:rFonts w:ascii="Arial" w:cs="Arial" w:eastAsia="Arial" w:hAnsi="Arial"/>
          <w:b/>
          <w:bCs/>
          <w:sz w:val="20"/>
          <w:szCs w:val="20"/>
        </w:rPr>
        <w:t xml:space="preserve">What the interview settled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Question</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Answer, in their words</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Used in</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Names and things we may use — </w:t>
      </w:r>
      <w:r>
        <w:rPr>
          <w:rFonts w:ascii="Arial" w:cs="Arial" w:eastAsia="Arial" w:hAnsi="Arial"/>
          <w:b w:val="false"/>
          <w:bCs w:val="false"/>
          <w:i/>
          <w:iCs/>
          <w:color w:val="8A8A8A"/>
          <w:sz w:val="20"/>
          <w:szCs w:val="20"/>
        </w:rPr>
        <w:t xml:space="preserve">[People (with their consent), sites, systems, product names, figures the organisation has cleared.]</w:t>
      </w:r>
    </w:p>
    <w:p>
      <w:pPr>
        <w:spacing w:after="80"/>
      </w:pPr>
      <w:r>
        <w:rPr>
          <w:rFonts w:ascii="Arial" w:cs="Arial" w:eastAsia="Arial" w:hAnsi="Arial"/>
          <w:b/>
          <w:bCs/>
          <w:color w:val="555555"/>
          <w:sz w:val="20"/>
          <w:szCs w:val="20"/>
        </w:rPr>
        <w:t xml:space="preserve">Things we must not say — </w:t>
      </w:r>
      <w:r>
        <w:rPr>
          <w:rFonts w:ascii="Arial" w:cs="Arial" w:eastAsia="Arial" w:hAnsi="Arial"/>
          <w:b w:val="false"/>
          <w:bCs w:val="false"/>
          <w:i/>
          <w:iCs/>
          <w:color w:val="8A8A8A"/>
          <w:sz w:val="20"/>
          <w:szCs w:val="20"/>
        </w:rPr>
        <w:t xml:space="preserve">[Anything the organisation has asked us to leave out, and why.]</w:t>
      </w:r>
    </w:p>
    <w:p>
      <w:pPr>
        <w:pStyle w:val="Heading3"/>
      </w:pPr>
      <w:r>
        <w:t xml:space="preserve">Sources read</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Source</w:t>
            </w:r>
          </w:p>
        </w:tc>
        <w:tc>
          <w:tcPr>
            <w:tcW w:type="auto" w:w="0"/>
          </w:tcPr>
          <w:p>
            <w:r>
              <w:t xml:space="preserve">Tier</w:t>
            </w:r>
          </w:p>
        </w:tc>
        <w:tc>
          <w:tcPr>
            <w:tcW w:type="auto" w:w="0"/>
          </w:tcPr>
          <w:p>
            <w:r>
              <w:t xml:space="preserve">What it gave us</w:t>
            </w:r>
          </w:p>
        </w:tc>
        <w:tc>
          <w:tcPr>
            <w:tcW w:type="auto" w:w="0"/>
          </w:tcPr>
          <w:p>
            <w:r>
              <w:t xml:space="preserve">Date read</w:t>
            </w:r>
          </w:p>
        </w:tc>
      </w:tr>
      <w:tr>
        <w:tc>
          <w:tcPr>
            <w:tcW w:type="auto" w:w="0"/>
          </w:tcPr>
          <w:p>
            <w:r>
              <w:t xml:space="preserve">Marriott Be People Brand Style Guide</w:t>
            </w:r>
          </w:p>
        </w:tc>
        <w:tc>
          <w:tcPr>
            <w:tcW w:type="auto" w:w="0"/>
          </w:tcPr>
          <w:p>
            <w:r>
              <w:t xml:space="preserve">1</w:t>
            </w:r>
          </w:p>
        </w:tc>
        <w:tc>
          <w:tcPr>
            <w:tcW w:type="auto" w:w="0"/>
          </w:tcPr>
          <w:p>
            <w:r>
              <w:t xml:space="preserve">Documents received</w:t>
            </w:r>
          </w:p>
        </w:tc>
        <w:tc>
          <w:tcPr>
            <w:tcW w:type="auto" w:w="0"/>
          </w:tcPr>
          <w:p>
            <w:r>
              <w:t xml:space="preserve">2026-09-22</w:t>
            </w:r>
          </w:p>
        </w:tc>
      </w:tr>
    </w:tbl>
    <w:p>
      <w:pPr>
        <w:pStyle w:val="Heading2"/>
        <w:spacing w:after="80" w:before="480"/>
      </w:pPr>
      <w:r>
        <w:rPr>
          <w:rFonts w:ascii="Arial" w:cs="Arial" w:eastAsia="Arial" w:hAnsi="Arial"/>
          <w:b/>
          <w:bCs/>
          <w:sz w:val="28"/>
          <w:szCs w:val="28"/>
        </w:rPr>
        <w:t xml:space="preserve">7. Fact register</w:t>
      </w:r>
    </w:p>
    <w:p>
      <w:pPr>
        <w:spacing w:after="160"/>
      </w:pPr>
      <w:r>
        <w:rPr>
          <w:rFonts w:ascii="Arial" w:cs="Arial" w:eastAsia="Arial" w:hAnsi="Arial"/>
          <w:i/>
          <w:iCs/>
          <w:color w:val="777777"/>
          <w:sz w:val="18"/>
          <w:szCs w:val="18"/>
        </w:rPr>
        <w:t xml:space="preserve">Every fact the storyboard states about the organisation or the role has a row here</w:t>
      </w:r>
    </w:p>
    <w:p>
      <w:pPr>
        <w:spacing w:after="100"/>
      </w:pPr>
      <w:r>
        <w:rPr>
          <w:rFonts w:ascii="Arial" w:cs="Arial" w:eastAsia="Arial" w:hAnsi="Arial"/>
          <w:sz w:val="20"/>
          <w:szCs w:val="20"/>
        </w:rPr>
        <w:t xml:space="preserve">Fill it as you go. Tier: 1 supplied by the organisation, 2 the organisation's public material, 3 the profession, 4 illustrative. A fact at tier 4 is one you or the model invented for the case; it is registered so that it is declared, never so that it is passed off. The storyboard's last page, "For the organisation to confirm", is the rows at tiers 2, 3 and 4 that the chapter uses; a row marked verified moves to tier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800"/>
        <w:gridCol w:w="2400"/>
        <w:gridCol w:w="1000"/>
        <w:gridCol w:w="1200"/>
        <w:gridCol w:w="1600"/>
      </w:tblGrid>
      <w:tr>
        <w:trPr>
          <w:tblHeader/>
        </w:trPr>
        <w:tc>
          <w:tcPr>
            <w:tcW w:type="dxa" w:w="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Fact</w:t>
            </w:r>
          </w:p>
        </w:tc>
        <w:tc>
          <w:tcPr>
            <w:tcW w:type="dxa" w:w="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Tier</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1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Parts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Verified</w:t>
            </w:r>
          </w:p>
        </w:tc>
      </w:tr>
      <w:tr>
        <w:trPr>
          <w:tblHeader w:val="false"/>
        </w:trPr>
        <w:tc>
          <w:tcPr>
            <w:tcW w:type="dxa" w:w="400"/>
            <w:tcMar>
              <w:top w:type="dxa" w:w="60"/>
              <w:left w:type="dxa" w:w="100"/>
              <w:bottom w:type="dxa" w:w="60"/>
              <w:right w:type="dxa" w:w="100"/>
            </w:tcMar>
          </w:tcPr>
          <w:p>
            <w:pPr>
              <w:spacing w:after="40"/>
            </w:pPr>
            <w:r>
              <w:t xml:space="preserve">1</w:t>
            </w:r>
          </w:p>
        </w:tc>
        <w:tc>
          <w:tcPr>
            <w:tcW w:type="dxa" w:w="3000"/>
            <w:tcMar>
              <w:top w:type="dxa" w:w="60"/>
              <w:left w:type="dxa" w:w="100"/>
              <w:bottom w:type="dxa" w:w="60"/>
              <w:right w:type="dxa" w:w="100"/>
            </w:tcMar>
          </w:tcPr>
          <w:p>
            <w:pPr>
              <w:spacing w:after="40"/>
            </w:pPr>
            <w:r>
              <w:t xml:space="preserve">Marriott International, Inc. is a global hospitality manager and franchisor based in Bethesda, Maryland, that evolved from a 1927 root beer stand into a company with over 9,800 properties worldwide.</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Marriott International — full year 2025 results; Our-Story</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w:t>
            </w:r>
          </w:p>
        </w:tc>
        <w:tc>
          <w:tcPr>
            <w:tcW w:type="dxa" w:w="3000"/>
            <w:tcMar>
              <w:top w:type="dxa" w:w="60"/>
              <w:left w:type="dxa" w:w="100"/>
              <w:bottom w:type="dxa" w:w="60"/>
              <w:right w:type="dxa" w:w="100"/>
            </w:tcMar>
          </w:tcPr>
          <w:p>
            <w:pPr>
              <w:spacing w:after="40"/>
            </w:pPr>
            <w:r>
              <w:t xml:space="preserve">The company offers a range of lodging products across luxury and midscale segments and operates the Marriott Bonvoy travel platform.</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Marriott International — full year 2025 results; Marriott International — full year 2025 results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3</w:t>
            </w:r>
          </w:p>
        </w:tc>
        <w:tc>
          <w:tcPr>
            <w:tcW w:type="dxa" w:w="3000"/>
            <w:tcMar>
              <w:top w:type="dxa" w:w="60"/>
              <w:left w:type="dxa" w:w="100"/>
              <w:bottom w:type="dxa" w:w="60"/>
              <w:right w:type="dxa" w:w="100"/>
            </w:tcMar>
          </w:tcPr>
          <w:p>
            <w:pPr>
              <w:spacing w:after="40"/>
            </w:pPr>
            <w:r>
              <w:t xml:space="preserve">Marriott's internal culture is framed by the motto 'Begin. Belong. Become.' and five core values including 'put people first' and 'pursue excellence'.</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About; Our-Story</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 Make the call</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4</w:t>
            </w:r>
          </w:p>
        </w:tc>
        <w:tc>
          <w:tcPr>
            <w:tcW w:type="dxa" w:w="3000"/>
            <w:tcMar>
              <w:top w:type="dxa" w:w="60"/>
              <w:left w:type="dxa" w:w="100"/>
              <w:bottom w:type="dxa" w:w="60"/>
              <w:right w:type="dxa" w:w="100"/>
            </w:tcMar>
          </w:tcPr>
          <w:p>
            <w:pPr>
              <w:spacing w:after="40"/>
            </w:pPr>
            <w:r>
              <w:t xml:space="preserve">The Senior Culinary Chef (Level 4) apprenticeship is the closest professional standard for executive kitchen leadership roles.</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Senior culinary chef — apprenticeship standard ST0864</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5</w:t>
            </w:r>
          </w:p>
        </w:tc>
        <w:tc>
          <w:tcPr>
            <w:tcW w:type="dxa" w:w="3000"/>
            <w:tcMar>
              <w:top w:type="dxa" w:w="60"/>
              <w:left w:type="dxa" w:w="100"/>
              <w:bottom w:type="dxa" w:w="60"/>
              <w:right w:type="dxa" w:w="100"/>
            </w:tcMar>
          </w:tcPr>
          <w:p>
            <w:pPr>
              <w:spacing w:after="40"/>
            </w:pPr>
            <w:r>
              <w:t xml:space="preserve">Lead the staff and managing all food related functions for the the hotel — Running the kitchen team and making sure all food operations in the hotel work correctly.</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Hotel-Sous-Chef; Hotel-Sous-Chef</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6</w:t>
            </w:r>
          </w:p>
        </w:tc>
        <w:tc>
          <w:tcPr>
            <w:tcW w:type="dxa" w:w="3000"/>
            <w:tcMar>
              <w:top w:type="dxa" w:w="60"/>
              <w:left w:type="dxa" w:w="100"/>
              <w:bottom w:type="dxa" w:w="60"/>
              <w:right w:type="dxa" w:w="100"/>
            </w:tcMar>
          </w:tcPr>
          <w:p>
            <w:pPr>
              <w:spacing w:after="40"/>
            </w:pPr>
            <w:r>
              <w:t xml:space="preserve">The National Careers Service classifies this role under the general 'Chef' profile, where experienced chefs can earn up to £40,000.</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Chef — National Careers Service job profile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7</w:t>
            </w:r>
          </w:p>
        </w:tc>
        <w:tc>
          <w:tcPr>
            <w:tcW w:type="dxa" w:w="3000"/>
            <w:tcMar>
              <w:top w:type="dxa" w:w="60"/>
              <w:left w:type="dxa" w:w="100"/>
              <w:bottom w:type="dxa" w:w="60"/>
              <w:right w:type="dxa" w:w="100"/>
            </w:tcMar>
          </w:tcPr>
          <w:p>
            <w:pPr>
              <w:spacing w:after="40"/>
            </w:pPr>
            <w:r>
              <w:t xml:space="preserve">The Craft Guild of Chefs is the UK's leading professional association for chefs, committed to advancing culinary knowledge and skills.</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Craft Guild of Chefs — the professional body</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8</w:t>
            </w:r>
          </w:p>
        </w:tc>
        <w:tc>
          <w:tcPr>
            <w:tcW w:type="dxa" w:w="3000"/>
            <w:tcMar>
              <w:top w:type="dxa" w:w="60"/>
              <w:left w:type="dxa" w:w="100"/>
              <w:bottom w:type="dxa" w:w="60"/>
              <w:right w:type="dxa" w:w="100"/>
            </w:tcMar>
          </w:tcPr>
          <w:p>
            <w:pPr>
              <w:spacing w:after="40"/>
            </w:pPr>
            <w:r>
              <w:t xml:space="preserve">Food preparation accounts for 45% of the food waste generated in hospitality outlets.</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Food waste in UK hospitality and food service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9</w:t>
            </w:r>
          </w:p>
        </w:tc>
        <w:tc>
          <w:tcPr>
            <w:tcW w:type="dxa" w:w="3000"/>
            <w:tcMar>
              <w:top w:type="dxa" w:w="60"/>
              <w:left w:type="dxa" w:w="100"/>
              <w:bottom w:type="dxa" w:w="60"/>
              <w:right w:type="dxa" w:w="100"/>
            </w:tcMar>
          </w:tcPr>
          <w:p>
            <w:pPr>
              <w:spacing w:after="40"/>
            </w:pPr>
            <w:r>
              <w:t xml:space="preserve">In England, Wales, and Northern Ireland, the legal temperature limit for chilled food is 8°C or below.</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Temperature control law — the review lines and limits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 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10</w:t>
            </w:r>
          </w:p>
        </w:tc>
        <w:tc>
          <w:tcPr>
            <w:tcW w:type="dxa" w:w="3000"/>
            <w:tcMar>
              <w:top w:type="dxa" w:w="60"/>
              <w:left w:type="dxa" w:w="100"/>
              <w:bottom w:type="dxa" w:w="60"/>
              <w:right w:type="dxa" w:w="100"/>
            </w:tcMar>
          </w:tcPr>
          <w:p>
            <w:pPr>
              <w:spacing w:after="40"/>
            </w:pPr>
            <w:r>
              <w:t xml:space="preserve">Hot food for service or display must be held at a temperature of 63°C or above.</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Temperature control law — the review lines and limits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 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11</w:t>
            </w:r>
          </w:p>
        </w:tc>
        <w:tc>
          <w:tcPr>
            <w:tcW w:type="dxa" w:w="3000"/>
            <w:tcMar>
              <w:top w:type="dxa" w:w="60"/>
              <w:left w:type="dxa" w:w="100"/>
              <w:bottom w:type="dxa" w:w="60"/>
              <w:right w:type="dxa" w:w="100"/>
            </w:tcMar>
          </w:tcPr>
          <w:p>
            <w:pPr>
              <w:spacing w:after="40"/>
            </w:pPr>
            <w:r>
              <w:t xml:space="preserve">Incomplete or missing food safety logs; likely causes Staff training gaps, Operational pressure, System negligence; checked by Local authority food safety inspection of management systems</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Food Hygiene Rating Scheme — what an inspection actually looks at</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 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12</w:t>
            </w:r>
          </w:p>
        </w:tc>
        <w:tc>
          <w:tcPr>
            <w:tcW w:type="dxa" w:w="3000"/>
            <w:tcMar>
              <w:top w:type="dxa" w:w="60"/>
              <w:left w:type="dxa" w:w="100"/>
              <w:bottom w:type="dxa" w:w="60"/>
              <w:right w:type="dxa" w:w="100"/>
            </w:tcMar>
          </w:tcPr>
          <w:p>
            <w:pPr>
              <w:spacing w:after="40"/>
            </w:pPr>
            <w:r>
              <w:t xml:space="preserve">There are 14 regulated allergens in the UK that must be declared to customers by law.</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The 14 regulated allergens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 Make the call</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13</w:t>
            </w:r>
          </w:p>
        </w:tc>
        <w:tc>
          <w:tcPr>
            <w:tcW w:type="dxa" w:w="3000"/>
            <w:tcMar>
              <w:top w:type="dxa" w:w="60"/>
              <w:left w:type="dxa" w:w="100"/>
              <w:bottom w:type="dxa" w:w="60"/>
              <w:right w:type="dxa" w:w="100"/>
            </w:tcMar>
          </w:tcPr>
          <w:p>
            <w:pPr>
              <w:spacing w:after="40"/>
            </w:pPr>
            <w:r>
              <w:t xml:space="preserve">A food safety officer from the local authority inspects businesses to verify compliance with food hygiene law.</w:t>
            </w:r>
          </w:p>
        </w:tc>
        <w:tc>
          <w:tcPr>
            <w:tcW w:type="dxa" w:w="800"/>
            <w:tcMar>
              <w:top w:type="dxa" w:w="60"/>
              <w:left w:type="dxa" w:w="100"/>
              <w:bottom w:type="dxa" w:w="60"/>
              <w:right w:type="dxa" w:w="100"/>
            </w:tcMar>
          </w:tcPr>
          <w:p>
            <w:pPr>
              <w:spacing w:after="40"/>
            </w:pPr>
            <w:r>
              <w:t xml:space="preserve">3</w:t>
            </w:r>
          </w:p>
        </w:tc>
        <w:tc>
          <w:tcPr>
            <w:tcW w:type="dxa" w:w="2400"/>
            <w:tcMar>
              <w:top w:type="dxa" w:w="60"/>
              <w:left w:type="dxa" w:w="100"/>
              <w:bottom w:type="dxa" w:w="60"/>
              <w:right w:type="dxa" w:w="100"/>
            </w:tcMar>
          </w:tcPr>
          <w:p>
            <w:pPr>
              <w:spacing w:after="40"/>
            </w:pPr>
            <w:r>
              <w:t xml:space="preserve">Food Hygiene Rating Scheme — what an inspection actually looks at</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14</w:t>
            </w:r>
          </w:p>
        </w:tc>
        <w:tc>
          <w:tcPr>
            <w:tcW w:type="dxa" w:w="3000"/>
            <w:tcMar>
              <w:top w:type="dxa" w:w="60"/>
              <w:left w:type="dxa" w:w="100"/>
              <w:bottom w:type="dxa" w:w="60"/>
              <w:right w:type="dxa" w:w="100"/>
            </w:tcMar>
          </w:tcPr>
          <w:p>
            <w:pPr>
              <w:spacing w:after="40"/>
            </w:pPr>
            <w:r>
              <w:t xml:space="preserve">Marriott uses a specific guide for its people brand called the People Brand Style Guide.</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15</w:t>
            </w:r>
          </w:p>
        </w:tc>
        <w:tc>
          <w:tcPr>
            <w:tcW w:type="dxa" w:w="3000"/>
            <w:tcMar>
              <w:top w:type="dxa" w:w="60"/>
              <w:left w:type="dxa" w:w="100"/>
              <w:bottom w:type="dxa" w:w="60"/>
              <w:right w:type="dxa" w:w="100"/>
            </w:tcMar>
          </w:tcPr>
          <w:p>
            <w:pPr>
              <w:spacing w:after="40"/>
            </w:pPr>
            <w:r>
              <w:t xml:space="preserve">The 'Be' logo must always feature a TM symbol and maintain a minimum height.</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16</w:t>
            </w:r>
          </w:p>
        </w:tc>
        <w:tc>
          <w:tcPr>
            <w:tcW w:type="dxa" w:w="3000"/>
            <w:tcMar>
              <w:top w:type="dxa" w:w="60"/>
              <w:left w:type="dxa" w:w="100"/>
              <w:bottom w:type="dxa" w:w="60"/>
              <w:right w:type="dxa" w:w="100"/>
            </w:tcMar>
          </w:tcPr>
          <w:p>
            <w:pPr>
              <w:spacing w:after="40"/>
            </w:pPr>
            <w:r>
              <w:t xml:space="preserve">Bonvoy Coral; #FF9662; seen Floods and headlines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17</w:t>
            </w:r>
          </w:p>
        </w:tc>
        <w:tc>
          <w:tcPr>
            <w:tcW w:type="dxa" w:w="3000"/>
            <w:tcMar>
              <w:top w:type="dxa" w:w="60"/>
              <w:left w:type="dxa" w:w="100"/>
              <w:bottom w:type="dxa" w:w="60"/>
              <w:right w:type="dxa" w:w="100"/>
            </w:tcMar>
          </w:tcPr>
          <w:p>
            <w:pPr>
              <w:spacing w:after="40"/>
            </w:pPr>
            <w:r>
              <w:t xml:space="preserve">Photography should feature candid people and bright, natural light in properties.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18</w:t>
            </w:r>
          </w:p>
        </w:tc>
        <w:tc>
          <w:tcPr>
            <w:tcW w:type="dxa" w:w="3000"/>
            <w:tcMar>
              <w:top w:type="dxa" w:w="60"/>
              <w:left w:type="dxa" w:w="100"/>
              <w:bottom w:type="dxa" w:w="60"/>
              <w:right w:type="dxa" w:w="100"/>
            </w:tcMar>
          </w:tcPr>
          <w:p>
            <w:pPr>
              <w:spacing w:after="40"/>
            </w:pPr>
            <w:r>
              <w:t xml:space="preserve">The 'Marriott Be People Brand Style Guide' (June 2023) defines the visual and tonal standards for associate-facing content.</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19</w:t>
            </w:r>
          </w:p>
        </w:tc>
        <w:tc>
          <w:tcPr>
            <w:tcW w:type="dxa" w:w="3000"/>
            <w:tcMar>
              <w:top w:type="dxa" w:w="60"/>
              <w:left w:type="dxa" w:w="100"/>
              <w:bottom w:type="dxa" w:w="60"/>
              <w:right w:type="dxa" w:w="100"/>
            </w:tcMar>
          </w:tcPr>
          <w:p>
            <w:pPr>
              <w:spacing w:after="40"/>
            </w:pPr>
            <w:r>
              <w:t xml:space="preserve">Marriott International operates more than 7,000 properties across 130 countries and territories.</w:t>
            </w:r>
          </w:p>
        </w:tc>
        <w:tc>
          <w:tcPr>
            <w:tcW w:type="dxa" w:w="800"/>
            <w:tcMar>
              <w:top w:type="dxa" w:w="60"/>
              <w:left w:type="dxa" w:w="100"/>
              <w:bottom w:type="dxa" w:w="60"/>
              <w:right w:type="dxa" w:w="100"/>
            </w:tcMar>
          </w:tcPr>
          <w:p>
            <w:pPr>
              <w:spacing w:after="40"/>
            </w:pPr>
            <w:r>
              <w:t xml:space="preserve">2</w:t>
            </w:r>
          </w:p>
        </w:tc>
        <w:tc>
          <w:tcPr>
            <w:tcW w:type="dxa" w:w="2400"/>
            <w:tcMar>
              <w:top w:type="dxa" w:w="60"/>
              <w:left w:type="dxa" w:w="100"/>
              <w:bottom w:type="dxa" w:w="60"/>
              <w:right w:type="dxa" w:w="100"/>
            </w:tcMar>
          </w:tcPr>
          <w:p>
            <w:pPr>
              <w:spacing w:after="40"/>
            </w:pPr>
            <w:r>
              <w:t xml:space="preserve">Junior-Sous-Chef-London-Marriott</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20</w:t>
            </w:r>
          </w:p>
        </w:tc>
        <w:tc>
          <w:tcPr>
            <w:tcW w:type="dxa" w:w="3000"/>
            <w:tcMar>
              <w:top w:type="dxa" w:w="60"/>
              <w:left w:type="dxa" w:w="100"/>
              <w:bottom w:type="dxa" w:w="60"/>
              <w:right w:type="dxa" w:w="100"/>
            </w:tcMar>
          </w:tcPr>
          <w:p>
            <w:pPr>
              <w:spacing w:after="40"/>
            </w:pPr>
            <w:r>
              <w:t xml:space="preserve">The Marriott people brand voice should sound like an older cousin giving career advice.</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Make the call; 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21</w:t>
            </w:r>
          </w:p>
        </w:tc>
        <w:tc>
          <w:tcPr>
            <w:tcW w:type="dxa" w:w="3000"/>
            <w:tcMar>
              <w:top w:type="dxa" w:w="60"/>
              <w:left w:type="dxa" w:w="100"/>
              <w:bottom w:type="dxa" w:w="60"/>
              <w:right w:type="dxa" w:w="100"/>
            </w:tcMar>
          </w:tcPr>
          <w:p>
            <w:pPr>
              <w:spacing w:after="40"/>
            </w:pPr>
            <w:r>
              <w:t xml:space="preserve">Marriott defines its brand pillars as Begin, Belong, and Become.</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 colour, type and voice tokens</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22</w:t>
            </w:r>
          </w:p>
        </w:tc>
        <w:tc>
          <w:tcPr>
            <w:tcW w:type="dxa" w:w="3000"/>
            <w:tcMar>
              <w:top w:type="dxa" w:w="60"/>
              <w:left w:type="dxa" w:w="100"/>
              <w:bottom w:type="dxa" w:w="60"/>
              <w:right w:type="dxa" w:w="100"/>
            </w:tcMar>
          </w:tcPr>
          <w:p>
            <w:pPr>
              <w:spacing w:after="40"/>
            </w:pPr>
            <w:r>
              <w:t xml:space="preserve">Marriott operates over 8,000 hotels.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A day in the role</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23</w:t>
            </w:r>
          </w:p>
        </w:tc>
        <w:tc>
          <w:tcPr>
            <w:tcW w:type="dxa" w:w="3000"/>
            <w:tcMar>
              <w:top w:type="dxa" w:w="60"/>
              <w:left w:type="dxa" w:w="100"/>
              <w:bottom w:type="dxa" w:w="60"/>
              <w:right w:type="dxa" w:w="100"/>
            </w:tcMar>
          </w:tcPr>
          <w:p>
            <w:pPr>
              <w:spacing w:after="40"/>
            </w:pPr>
            <w:r>
              <w:t xml:space="preserve">The brand voice is informal and conversational, intended to sound like an 'older cousin doling out career advice'.</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 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Make the call; What matters first</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24</w:t>
            </w:r>
          </w:p>
        </w:tc>
        <w:tc>
          <w:tcPr>
            <w:tcW w:type="dxa" w:w="3000"/>
            <w:tcMar>
              <w:top w:type="dxa" w:w="60"/>
              <w:left w:type="dxa" w:w="100"/>
              <w:bottom w:type="dxa" w:w="60"/>
              <w:right w:type="dxa" w:w="100"/>
            </w:tcMar>
          </w:tcPr>
          <w:p>
            <w:pPr>
              <w:spacing w:after="40"/>
            </w:pPr>
            <w:r>
              <w:t xml:space="preserve">The organization uses specific primary, secondary, and accent colours including Bonvoy Black, Bonvoy Coral, and various blues and greens.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 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25</w:t>
            </w:r>
          </w:p>
        </w:tc>
        <w:tc>
          <w:tcPr>
            <w:tcW w:type="dxa" w:w="3000"/>
            <w:tcMar>
              <w:top w:type="dxa" w:w="60"/>
              <w:left w:type="dxa" w:w="100"/>
              <w:bottom w:type="dxa" w:w="60"/>
              <w:right w:type="dxa" w:w="100"/>
            </w:tcMar>
          </w:tcPr>
          <w:p>
            <w:pPr>
              <w:spacing w:after="40"/>
            </w:pPr>
            <w:r>
              <w:t xml:space="preserve">Brand slogans using 'Be' must follow specific formatting: sentence case, a lowercase extension, and ending with a full stop.</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 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r>
        <w:trPr>
          <w:tblHeader w:val="false"/>
        </w:trPr>
        <w:tc>
          <w:tcPr>
            <w:tcW w:type="dxa" w:w="400"/>
            <w:tcMar>
              <w:top w:type="dxa" w:w="60"/>
              <w:left w:type="dxa" w:w="100"/>
              <w:bottom w:type="dxa" w:w="60"/>
              <w:right w:type="dxa" w:w="100"/>
            </w:tcMar>
          </w:tcPr>
          <w:p>
            <w:pPr>
              <w:spacing w:after="40"/>
            </w:pPr>
            <w:r>
              <w:t xml:space="preserve">26</w:t>
            </w:r>
          </w:p>
        </w:tc>
        <w:tc>
          <w:tcPr>
            <w:tcW w:type="dxa" w:w="3000"/>
            <w:tcMar>
              <w:top w:type="dxa" w:w="60"/>
              <w:left w:type="dxa" w:w="100"/>
              <w:bottom w:type="dxa" w:w="60"/>
              <w:right w:type="dxa" w:w="100"/>
            </w:tcMar>
          </w:tcPr>
          <w:p>
            <w:pPr>
              <w:spacing w:after="40"/>
            </w:pPr>
            <w:r>
              <w:t xml:space="preserve">The 'Be' logo must always feature a TM symbol and maintain a minimum height of 0.25 inches.</w:t>
            </w:r>
          </w:p>
        </w:tc>
        <w:tc>
          <w:tcPr>
            <w:tcW w:type="dxa" w:w="800"/>
            <w:tcMar>
              <w:top w:type="dxa" w:w="60"/>
              <w:left w:type="dxa" w:w="100"/>
              <w:bottom w:type="dxa" w:w="60"/>
              <w:right w:type="dxa" w:w="100"/>
            </w:tcMar>
          </w:tcPr>
          <w:p>
            <w:pPr>
              <w:spacing w:after="40"/>
            </w:pPr>
            <w:r>
              <w:t xml:space="preserve">1</w:t>
            </w:r>
          </w:p>
        </w:tc>
        <w:tc>
          <w:tcPr>
            <w:tcW w:type="dxa" w:w="2400"/>
            <w:tcMar>
              <w:top w:type="dxa" w:w="60"/>
              <w:left w:type="dxa" w:w="100"/>
              <w:bottom w:type="dxa" w:w="60"/>
              <w:right w:type="dxa" w:w="100"/>
            </w:tcMar>
          </w:tcPr>
          <w:p>
            <w:pPr>
              <w:spacing w:after="40"/>
            </w:pPr>
            <w:r>
              <w:t xml:space="preserve">Marriott Be People Brand Style Guide; Marriott Be People Brand Style Guide</w:t>
            </w:r>
          </w:p>
        </w:tc>
        <w:tc>
          <w:tcPr>
            <w:tcW w:type="dxa" w:w="1000"/>
            <w:tcMar>
              <w:top w:type="dxa" w:w="60"/>
              <w:left w:type="dxa" w:w="100"/>
              <w:bottom w:type="dxa" w:w="60"/>
              <w:right w:type="dxa" w:w="100"/>
            </w:tcMar>
          </w:tcPr>
          <w:p>
            <w:pPr>
              <w:spacing w:after="40"/>
            </w:pPr>
            <w:r>
              <w:t xml:space="preserve">2026-09-22</w:t>
            </w:r>
          </w:p>
        </w:tc>
        <w:tc>
          <w:tcPr>
            <w:tcW w:type="dxa" w:w="1200"/>
            <w:tcMar>
              <w:top w:type="dxa" w:w="60"/>
              <w:left w:type="dxa" w:w="100"/>
              <w:bottom w:type="dxa" w:w="60"/>
              <w:right w:type="dxa" w:w="100"/>
            </w:tcMar>
          </w:tcPr>
          <w:p>
            <w:pPr>
              <w:spacing w:after="40"/>
            </w:pPr>
            <w:r>
              <w:t xml:space="preserve">Follow the workflow</w:t>
            </w:r>
          </w:p>
        </w:tc>
        <w:tc>
          <w:tcPr>
            <w:tcW w:type="dxa" w:w="1600"/>
            <w:tcMar>
              <w:top w:type="dxa" w:w="60"/>
              <w:left w:type="dxa" w:w="100"/>
              <w:bottom w:type="dxa" w:w="60"/>
              <w:right w:type="dxa" w:w="100"/>
            </w:tcMar>
          </w:tcPr>
          <w:p>
            <w:pPr>
              <w:spacing w:after="40"/>
            </w:pPr>
            <w:r>
              <w:t xml:space="preserve">No</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8. Questions for the organisation</w:t>
      </w:r>
    </w:p>
    <w:p>
      <w:pPr>
        <w:spacing w:after="100"/>
      </w:pPr>
      <w:r>
        <w:rPr>
          <w:rFonts w:ascii="Arial" w:cs="Arial" w:eastAsia="Arial" w:hAnsi="Arial"/>
          <w:sz w:val="20"/>
          <w:szCs w:val="20"/>
        </w:rPr>
        <w:t xml:space="preserve">Write them as they arise, send them together, and register the answers at tier 1 when they come 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gridCol w:w="1200"/>
      </w:tblGrid>
      <w:tr>
        <w:trPr>
          <w:tblHeader/>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Question</w:t>
            </w:r>
          </w:p>
        </w:tc>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Why it matters to the chapter</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Answer</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3200"/>
            <w:tcMar>
              <w:top w:type="dxa" w:w="60"/>
              <w:left w:type="dxa" w:w="100"/>
              <w:bottom w:type="dxa" w:w="60"/>
              <w:right w:type="dxa" w:w="100"/>
            </w:tcMar>
          </w:tcPr>
          <w:p>
            <w:pPr>
              <w:spacing w:after="40"/>
            </w:pPr>
            <w:r>
              <w:t xml:space="preserve">Which specific UK hotel and brand will serve as the setting for this career simulation?</w:t>
            </w:r>
          </w:p>
        </w:tc>
        <w:tc>
          <w:tcPr>
            <w:tcW w:type="dxa" w:w="3200"/>
            <w:tcMar>
              <w:top w:type="dxa" w:w="60"/>
              <w:left w:type="dxa" w:w="100"/>
              <w:bottom w:type="dxa" w:w="60"/>
              <w:right w:type="dxa" w:w="100"/>
            </w:tcMar>
          </w:tcPr>
          <w:p>
            <w:pPr>
              <w:spacing w:after="40"/>
            </w:pPr>
            <w:r>
              <w:t xml:space="preserve">The entity context varies between managed and franchised properties, and the learner meets Marriott International, Inc. rather than the property owner.</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job title and duties for the role the learner will be simulating?</w:t>
            </w:r>
          </w:p>
        </w:tc>
        <w:tc>
          <w:tcPr>
            <w:tcW w:type="dxa" w:w="3200"/>
            <w:tcMar>
              <w:top w:type="dxa" w:w="60"/>
              <w:left w:type="dxa" w:w="100"/>
              <w:bottom w:type="dxa" w:w="60"/>
              <w:right w:type="dxa" w:w="100"/>
            </w:tcMar>
          </w:tcPr>
          <w:p>
            <w:pPr>
              <w:spacing w:after="40"/>
            </w:pPr>
            <w:r>
              <w:t xml:space="preserve">The role brief is currently null, and specific duties are required to populate the role.duty and case.routine slots.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legal entity name for Marriott’s UK operations that will be featured in this simulation?</w:t>
            </w:r>
          </w:p>
        </w:tc>
        <w:tc>
          <w:tcPr>
            <w:tcW w:type="dxa" w:w="3200"/>
            <w:tcMar>
              <w:top w:type="dxa" w:w="60"/>
              <w:left w:type="dxa" w:w="100"/>
              <w:bottom w:type="dxa" w:w="60"/>
              <w:right w:type="dxa" w:w="100"/>
            </w:tcMar>
          </w:tcPr>
          <w:p>
            <w:pPr>
              <w:spacing w:after="40"/>
            </w:pPr>
            <w:r>
              <w:t xml:space="preserve">The section notes indicate the UK hotel entity and property ownership context are thin and should be confirmed.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the title 'Executive Sous Chef' apply uniformly across all Marriott UK brands, or is it reserved for luxury brands like St. Regis?</w:t>
            </w:r>
          </w:p>
        </w:tc>
        <w:tc>
          <w:tcPr>
            <w:tcW w:type="dxa" w:w="3200"/>
            <w:tcMar>
              <w:top w:type="dxa" w:w="60"/>
              <w:left w:type="dxa" w:w="100"/>
              <w:bottom w:type="dxa" w:w="60"/>
              <w:right w:type="dxa" w:w="100"/>
            </w:tcMar>
          </w:tcPr>
          <w:p>
            <w:pPr>
              <w:spacing w:after="40"/>
            </w:pPr>
            <w:r>
              <w:t xml:space="preserve">Evidence shows the St. Regis brand uses 'Executive Sous Chef' while the Courtyard brand uses 'Hotel Sous Chef'. The role brief notes this title requires Marriott confirmation for the simulation's specific context.</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legal entity name for Marriott's UK hotel operations, and who owns the physical properties?</w:t>
            </w:r>
          </w:p>
        </w:tc>
        <w:tc>
          <w:tcPr>
            <w:tcW w:type="dxa" w:w="3200"/>
            <w:tcMar>
              <w:top w:type="dxa" w:w="60"/>
              <w:left w:type="dxa" w:w="100"/>
              <w:bottom w:type="dxa" w:w="60"/>
              <w:right w:type="dxa" w:w="100"/>
            </w:tcMar>
          </w:tcPr>
          <w:p>
            <w:pPr>
              <w:spacing w:after="40"/>
            </w:pPr>
            <w:r>
              <w:t xml:space="preserve">The organisation notes indicate the UK entity and property ownership context are thin and need confirmation for storyboard accuracy.</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job title and level of authority used by Marriott for this role in the UK?</w:t>
            </w:r>
          </w:p>
        </w:tc>
        <w:tc>
          <w:tcPr>
            <w:tcW w:type="dxa" w:w="3200"/>
            <w:tcMar>
              <w:top w:type="dxa" w:w="60"/>
              <w:left w:type="dxa" w:w="100"/>
              <w:bottom w:type="dxa" w:w="60"/>
              <w:right w:type="dxa" w:w="100"/>
            </w:tcMar>
          </w:tcPr>
          <w:p>
            <w:pPr>
              <w:spacing w:after="40"/>
            </w:pPr>
            <w:r>
              <w:t xml:space="preserve">The role brief notes that 'Executive Sous Chef' originated in non-Marriott material and needs validation against Marriott's specific UK titles.</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Does Marriott set a internal brand standard for fridge temperatures (e.g., 5°C) that is stricter than the legal 8°C limit?</w:t>
            </w:r>
          </w:p>
        </w:tc>
        <w:tc>
          <w:tcPr>
            <w:tcW w:type="dxa" w:w="3200"/>
            <w:tcMar>
              <w:top w:type="dxa" w:w="60"/>
              <w:left w:type="dxa" w:w="100"/>
              <w:bottom w:type="dxa" w:w="60"/>
              <w:right w:type="dxa" w:w="100"/>
            </w:tcMar>
          </w:tcPr>
          <w:p>
            <w:pPr>
              <w:spacing w:after="40"/>
            </w:pPr>
            <w:r>
              <w:t xml:space="preserve">Source 39d5eefb suggests industry practice is 5°C, but Marriott's specific standard is not yet known.</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are the specific Marriott internal standards or cooling rules used in their Food Safety Management System?</w:t>
            </w:r>
          </w:p>
        </w:tc>
        <w:tc>
          <w:tcPr>
            <w:tcW w:type="dxa" w:w="3200"/>
            <w:tcMar>
              <w:top w:type="dxa" w:w="60"/>
              <w:left w:type="dxa" w:w="100"/>
              <w:bottom w:type="dxa" w:w="60"/>
              <w:right w:type="dxa" w:w="100"/>
            </w:tcMar>
          </w:tcPr>
          <w:p>
            <w:pPr>
              <w:spacing w:after="40"/>
            </w:pPr>
            <w:r>
              <w:t xml:space="preserve">Source 39d5eefb notes that the common 90-minute cooling rule is industry guidance rather than law; Marriott's specific system must be verified.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exact UK hotel entity name and property ownership context for this simulation?</w:t>
            </w:r>
          </w:p>
        </w:tc>
        <w:tc>
          <w:tcPr>
            <w:tcW w:type="dxa" w:w="3200"/>
            <w:tcMar>
              <w:top w:type="dxa" w:w="60"/>
              <w:left w:type="dxa" w:w="100"/>
              <w:bottom w:type="dxa" w:w="60"/>
              <w:right w:type="dxa" w:w="100"/>
            </w:tcMar>
          </w:tcPr>
          <w:p>
            <w:pPr>
              <w:spacing w:after="40"/>
            </w:pPr>
            <w:r>
              <w:t xml:space="preserve">Section notes indicate the organization folder is thinnest on the UK property context, which needs to be confirmed before wording is fixed.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Do we have a license to use Ridley Grotesk in the simulation output, or should we strictly use Calibri?</w:t>
            </w:r>
          </w:p>
        </w:tc>
        <w:tc>
          <w:tcPr>
            <w:tcW w:type="dxa" w:w="3200"/>
            <w:tcMar>
              <w:top w:type="dxa" w:w="60"/>
              <w:left w:type="dxa" w:w="100"/>
              <w:bottom w:type="dxa" w:w="60"/>
              <w:right w:type="dxa" w:w="100"/>
            </w:tcMar>
          </w:tcPr>
          <w:p>
            <w:pPr>
              <w:spacing w:after="40"/>
            </w:pPr>
            <w:r>
              <w:t xml:space="preserve">The guide assumes Ridley Grotesk is licensed to Marriott but not necessarily to Springpod; researchers suggest using Calibri unless confirmed otherwise.</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Is the logo.svg file (#1C1C1C) the approved primary asset, and in which specific scenarios should the Coral colorway be used instead?</w:t>
            </w:r>
          </w:p>
        </w:tc>
        <w:tc>
          <w:tcPr>
            <w:tcW w:type="dxa" w:w="3200"/>
            <w:tcMar>
              <w:top w:type="dxa" w:w="60"/>
              <w:left w:type="dxa" w:w="100"/>
              <w:bottom w:type="dxa" w:w="60"/>
              <w:right w:type="dxa" w:w="100"/>
            </w:tcMar>
          </w:tcPr>
          <w:p>
            <w:pPr>
              <w:spacing w:after="40"/>
            </w:pPr>
            <w:r>
              <w:t xml:space="preserve">The local file is black, but the guide states Coral should be used on high-contrast backgrounds; clarification on the primary colorway for the logo is needed.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What is the specific UK legal entity and property ownership context for this simulation?</w:t>
            </w:r>
          </w:p>
        </w:tc>
        <w:tc>
          <w:tcPr>
            <w:tcW w:type="dxa" w:w="3200"/>
            <w:tcMar>
              <w:top w:type="dxa" w:w="60"/>
              <w:left w:type="dxa" w:w="100"/>
              <w:bottom w:type="dxa" w:w="60"/>
              <w:right w:type="dxa" w:w="100"/>
            </w:tcMar>
          </w:tcPr>
          <w:p>
            <w:pPr>
              <w:spacing w:after="40"/>
            </w:pPr>
            <w:r>
              <w:t xml:space="preserve">The brief notes that internal information regarding the exact UK hotel entity is thin and needs confirmation before storyboard wording is finalised.</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r>
        <w:trPr>
          <w:tblHeader w:val="false"/>
        </w:trPr>
        <w:tc>
          <w:tcPr>
            <w:tcW w:type="dxa" w:w="3200"/>
            <w:tcMar>
              <w:top w:type="dxa" w:w="60"/>
              <w:left w:type="dxa" w:w="100"/>
              <w:bottom w:type="dxa" w:w="60"/>
              <w:right w:type="dxa" w:w="100"/>
            </w:tcMar>
          </w:tcPr>
          <w:p>
            <w:pPr>
              <w:spacing w:after="40"/>
            </w:pPr>
            <w:r>
              <w:t xml:space="preserve">Which specific UK hotel properties or regions should be featured in the simulation?</w:t>
            </w:r>
          </w:p>
        </w:tc>
        <w:tc>
          <w:tcPr>
            <w:tcW w:type="dxa" w:w="3200"/>
            <w:tcMar>
              <w:top w:type="dxa" w:w="60"/>
              <w:left w:type="dxa" w:w="100"/>
              <w:bottom w:type="dxa" w:w="60"/>
              <w:right w:type="dxa" w:w="100"/>
            </w:tcMar>
          </w:tcPr>
          <w:p>
            <w:pPr>
              <w:spacing w:after="40"/>
            </w:pPr>
            <w:r>
              <w:t xml:space="preserve">The organization brief highlights uncertainty regarding property ownership context which could impact the realism of the simulation.</w:t>
            </w:r>
          </w:p>
        </w:tc>
        <w:tc>
          <w:tcPr>
            <w:tcW w:type="dxa" w:w="2800"/>
            <w:tcMar>
              <w:top w:type="dxa" w:w="60"/>
              <w:left w:type="dxa" w:w="100"/>
              <w:bottom w:type="dxa" w:w="60"/>
              <w:right w:type="dxa" w:w="100"/>
            </w:tcMar>
          </w:tcPr>
          <w:p>
            <w:pPr>
              <w:spacing w:after="40"/>
            </w:pPr>
            <w:r>
              <w:t xml:space="preserve">Unanswered</w:t>
            </w:r>
          </w:p>
        </w:tc>
        <w:tc>
          <w:tcPr>
            <w:tcW w:type="dxa" w:w="1200"/>
            <w:tcMar>
              <w:top w:type="dxa" w:w="60"/>
              <w:left w:type="dxa" w:w="100"/>
              <w:bottom w:type="dxa" w:w="60"/>
              <w:right w:type="dxa" w:w="100"/>
            </w:tcMar>
          </w:tcPr>
          <w:p>
            <w:pPr>
              <w:spacing w:after="40"/>
            </w:pPr>
            <w:r>
              <w:t xml:space="preserve">2026-09-22</w:t>
            </w:r>
          </w:p>
        </w:tc>
      </w:tr>
    </w:tbl>
    <w:p>
      <w:pPr>
        <w:spacing w:after="60"/>
      </w:pPr>
      <w:r>
        <w:rPr>
          <w:rFonts w:ascii="Arial" w:cs="Arial" w:eastAsia="Arial" w:hAnsi="Arial"/>
          <w:sz w:val="20"/>
          <w:szCs w:val="20"/>
        </w:rPr>
        <w:t xml:space="preserve"/>
      </w:r>
    </w:p>
    <w:p>
      <w:pPr>
        <w:pStyle w:val="Heading3"/>
      </w:pPr>
      <w:r>
        <w:t xml:space="preserve">For the organisation to confirm</w:t>
      </w:r>
    </w:p>
    <w:tbl>
      <w:tblPr>
        <w:tblW w:type="auto" w:w="0"/>
        <w:tblBorders>
          <w:top w:val="single" w:sz="4" w:color="auto"/>
          <w:left w:val="single" w:sz="4" w:color="auto"/>
          <w:bottom w:val="single" w:sz="4" w:color="auto"/>
          <w:right w:val="single" w:sz="4" w:color="auto"/>
          <w:insideH w:val="single" w:sz="4" w:color="auto"/>
          <w:insideV w:val="single" w:sz="4" w:color="auto"/>
        </w:tblBorders>
      </w:tblPr>
      <w:tr>
        <w:tc>
          <w:tcPr>
            <w:tcW w:type="auto" w:w="0"/>
          </w:tcPr>
          <w:p>
            <w:r>
              <w:t xml:space="preserve">#</w:t>
            </w:r>
          </w:p>
        </w:tc>
        <w:tc>
          <w:tcPr>
            <w:tcW w:type="auto" w:w="0"/>
          </w:tcPr>
          <w:p>
            <w:r>
              <w:t xml:space="preserve">Fact</w:t>
            </w:r>
          </w:p>
        </w:tc>
        <w:tc>
          <w:tcPr>
            <w:tcW w:type="auto" w:w="0"/>
          </w:tcPr>
          <w:p>
            <w:r>
              <w:t xml:space="preserve">Tier</w:t>
            </w:r>
          </w:p>
        </w:tc>
        <w:tc>
          <w:tcPr>
            <w:tcW w:type="auto" w:w="0"/>
          </w:tcPr>
          <w:p>
            <w:r>
              <w:t xml:space="preserve">Source</w:t>
            </w:r>
          </w:p>
        </w:tc>
        <w:tc>
          <w:tcPr>
            <w:tcW w:type="auto" w:w="0"/>
          </w:tcPr>
          <w:p>
            <w:r>
              <w:t xml:space="preserve">Parts</w:t>
            </w:r>
          </w:p>
        </w:tc>
        <w:tc>
          <w:tcPr>
            <w:tcW w:type="auto" w:w="0"/>
          </w:tcPr>
          <w:p>
            <w:r>
              <w:t xml:space="preserve">Confirmed (initials, date)</w:t>
            </w:r>
          </w:p>
        </w:tc>
      </w:tr>
      <w:tr>
        <w:tc>
          <w:tcPr>
            <w:tcW w:type="auto" w:w="0"/>
          </w:tcPr>
          <w:p>
            <w:r>
              <w:t xml:space="preserve">1</w:t>
            </w:r>
          </w:p>
        </w:tc>
        <w:tc>
          <w:tcPr>
            <w:tcW w:type="auto" w:w="0"/>
          </w:tcPr>
          <w:p>
            <w:r>
              <w:t xml:space="preserve">Marriott International, Inc. is a global hospitality manager and franchisor based in Bethesda, Maryland, that evolved from a 1927 root beer stand into a company with over 9,800 properties worldwide.</w:t>
            </w:r>
          </w:p>
        </w:tc>
        <w:tc>
          <w:tcPr>
            <w:tcW w:type="auto" w:w="0"/>
          </w:tcPr>
          <w:p>
            <w:r>
              <w:t xml:space="preserve">2</w:t>
            </w:r>
          </w:p>
        </w:tc>
        <w:tc>
          <w:tcPr>
            <w:tcW w:type="auto" w:w="0"/>
          </w:tcPr>
          <w:p>
            <w:r>
              <w:t xml:space="preserve">Marriott International — full year 2025 results; Our-Story</w:t>
            </w:r>
          </w:p>
        </w:tc>
        <w:tc>
          <w:tcPr>
            <w:tcW w:type="auto" w:w="0"/>
          </w:tcPr>
          <w:p>
            <w:r>
              <w:t xml:space="preserve">A day in the role</w:t>
            </w:r>
          </w:p>
        </w:tc>
        <w:tc>
          <w:tcPr>
            <w:tcW w:type="auto" w:w="0"/>
          </w:tcPr>
          <w:p>
            <w:r>
              <w:t xml:space="preserve"/>
            </w:r>
          </w:p>
        </w:tc>
      </w:tr>
      <w:tr>
        <w:tc>
          <w:tcPr>
            <w:tcW w:type="auto" w:w="0"/>
          </w:tcPr>
          <w:p>
            <w:r>
              <w:t xml:space="preserve">2</w:t>
            </w:r>
          </w:p>
        </w:tc>
        <w:tc>
          <w:tcPr>
            <w:tcW w:type="auto" w:w="0"/>
          </w:tcPr>
          <w:p>
            <w:r>
              <w:t xml:space="preserve">The company offers a range of lodging products across luxury and midscale segments and operates the Marriott Bonvoy travel platform.</w:t>
            </w:r>
          </w:p>
        </w:tc>
        <w:tc>
          <w:tcPr>
            <w:tcW w:type="auto" w:w="0"/>
          </w:tcPr>
          <w:p>
            <w:r>
              <w:t xml:space="preserve">2</w:t>
            </w:r>
          </w:p>
        </w:tc>
        <w:tc>
          <w:tcPr>
            <w:tcW w:type="auto" w:w="0"/>
          </w:tcPr>
          <w:p>
            <w:r>
              <w:t xml:space="preserve">Marriott International — full year 2025 results; Marriott International — full year 2025 results</w:t>
            </w:r>
          </w:p>
        </w:tc>
        <w:tc>
          <w:tcPr>
            <w:tcW w:type="auto" w:w="0"/>
          </w:tcPr>
          <w:p>
            <w:r>
              <w:t xml:space="preserve">A day in the role</w:t>
            </w:r>
          </w:p>
        </w:tc>
        <w:tc>
          <w:tcPr>
            <w:tcW w:type="auto" w:w="0"/>
          </w:tcPr>
          <w:p>
            <w:r>
              <w:t xml:space="preserve"/>
            </w:r>
          </w:p>
        </w:tc>
      </w:tr>
      <w:tr>
        <w:tc>
          <w:tcPr>
            <w:tcW w:type="auto" w:w="0"/>
          </w:tcPr>
          <w:p>
            <w:r>
              <w:t xml:space="preserve">3</w:t>
            </w:r>
          </w:p>
        </w:tc>
        <w:tc>
          <w:tcPr>
            <w:tcW w:type="auto" w:w="0"/>
          </w:tcPr>
          <w:p>
            <w:r>
              <w:t xml:space="preserve">Marriott's internal culture is framed by the motto 'Begin. Belong. Become.' and five core values including 'put people first' and 'pursue excellence'.</w:t>
            </w:r>
          </w:p>
        </w:tc>
        <w:tc>
          <w:tcPr>
            <w:tcW w:type="auto" w:w="0"/>
          </w:tcPr>
          <w:p>
            <w:r>
              <w:t xml:space="preserve">2</w:t>
            </w:r>
          </w:p>
        </w:tc>
        <w:tc>
          <w:tcPr>
            <w:tcW w:type="auto" w:w="0"/>
          </w:tcPr>
          <w:p>
            <w:r>
              <w:t xml:space="preserve">About; Our-Story</w:t>
            </w:r>
          </w:p>
        </w:tc>
        <w:tc>
          <w:tcPr>
            <w:tcW w:type="auto" w:w="0"/>
          </w:tcPr>
          <w:p>
            <w:r>
              <w:t xml:space="preserve">A day in the role; Make the call</w:t>
            </w:r>
          </w:p>
        </w:tc>
        <w:tc>
          <w:tcPr>
            <w:tcW w:type="auto" w:w="0"/>
          </w:tcPr>
          <w:p>
            <w:r>
              <w:t xml:space="preserve"/>
            </w:r>
          </w:p>
        </w:tc>
      </w:tr>
      <w:tr>
        <w:tc>
          <w:tcPr>
            <w:tcW w:type="auto" w:w="0"/>
          </w:tcPr>
          <w:p>
            <w:r>
              <w:t xml:space="preserve">4</w:t>
            </w:r>
          </w:p>
        </w:tc>
        <w:tc>
          <w:tcPr>
            <w:tcW w:type="auto" w:w="0"/>
          </w:tcPr>
          <w:p>
            <w:r>
              <w:t xml:space="preserve">The Senior Culinary Chef (Level 4) apprenticeship is the closest professional standard for executive kitchen leadership roles.</w:t>
            </w:r>
          </w:p>
        </w:tc>
        <w:tc>
          <w:tcPr>
            <w:tcW w:type="auto" w:w="0"/>
          </w:tcPr>
          <w:p>
            <w:r>
              <w:t xml:space="preserve">3</w:t>
            </w:r>
          </w:p>
        </w:tc>
        <w:tc>
          <w:tcPr>
            <w:tcW w:type="auto" w:w="0"/>
          </w:tcPr>
          <w:p>
            <w:r>
              <w:t xml:space="preserve">Senior culinary chef — apprenticeship standard ST0864</w:t>
            </w:r>
          </w:p>
        </w:tc>
        <w:tc>
          <w:tcPr>
            <w:tcW w:type="auto" w:w="0"/>
          </w:tcPr>
          <w:p>
            <w:r>
              <w:t xml:space="preserve">What matters first</w:t>
            </w:r>
          </w:p>
        </w:tc>
        <w:tc>
          <w:tcPr>
            <w:tcW w:type="auto" w:w="0"/>
          </w:tcPr>
          <w:p>
            <w:r>
              <w:t xml:space="preserve"/>
            </w:r>
          </w:p>
        </w:tc>
      </w:tr>
      <w:tr>
        <w:tc>
          <w:tcPr>
            <w:tcW w:type="auto" w:w="0"/>
          </w:tcPr>
          <w:p>
            <w:r>
              <w:t xml:space="preserve">5</w:t>
            </w:r>
          </w:p>
        </w:tc>
        <w:tc>
          <w:tcPr>
            <w:tcW w:type="auto" w:w="0"/>
          </w:tcPr>
          <w:p>
            <w:r>
              <w:t xml:space="preserve">Lead the staff and managing all food related functions for the the hotel — Running the kitchen team and making sure all food operations in the hotel work correctly.</w:t>
            </w:r>
          </w:p>
        </w:tc>
        <w:tc>
          <w:tcPr>
            <w:tcW w:type="auto" w:w="0"/>
          </w:tcPr>
          <w:p>
            <w:r>
              <w:t xml:space="preserve">2</w:t>
            </w:r>
          </w:p>
        </w:tc>
        <w:tc>
          <w:tcPr>
            <w:tcW w:type="auto" w:w="0"/>
          </w:tcPr>
          <w:p>
            <w:r>
              <w:t xml:space="preserve">Hotel-Sous-Chef; Hotel-Sous-Chef</w:t>
            </w:r>
          </w:p>
        </w:tc>
        <w:tc>
          <w:tcPr>
            <w:tcW w:type="auto" w:w="0"/>
          </w:tcPr>
          <w:p>
            <w:r>
              <w:t xml:space="preserve">Follow the workflow</w:t>
            </w:r>
          </w:p>
        </w:tc>
        <w:tc>
          <w:tcPr>
            <w:tcW w:type="auto" w:w="0"/>
          </w:tcPr>
          <w:p>
            <w:r>
              <w:t xml:space="preserve"/>
            </w:r>
          </w:p>
        </w:tc>
      </w:tr>
      <w:tr>
        <w:tc>
          <w:tcPr>
            <w:tcW w:type="auto" w:w="0"/>
          </w:tcPr>
          <w:p>
            <w:r>
              <w:t xml:space="preserve">6</w:t>
            </w:r>
          </w:p>
        </w:tc>
        <w:tc>
          <w:tcPr>
            <w:tcW w:type="auto" w:w="0"/>
          </w:tcPr>
          <w:p>
            <w:r>
              <w:t xml:space="preserve">The National Careers Service classifies this role under the general 'Chef' profile, where experienced chefs can earn up to £40,000.</w:t>
            </w:r>
          </w:p>
        </w:tc>
        <w:tc>
          <w:tcPr>
            <w:tcW w:type="auto" w:w="0"/>
          </w:tcPr>
          <w:p>
            <w:r>
              <w:t xml:space="preserve">3</w:t>
            </w:r>
          </w:p>
        </w:tc>
        <w:tc>
          <w:tcPr>
            <w:tcW w:type="auto" w:w="0"/>
          </w:tcPr>
          <w:p>
            <w:r>
              <w:t xml:space="preserve">Chef — National Careers Service job profile</w:t>
            </w:r>
          </w:p>
        </w:tc>
        <w:tc>
          <w:tcPr>
            <w:tcW w:type="auto" w:w="0"/>
          </w:tcPr>
          <w:p>
            <w:r>
              <w:t xml:space="preserve">What matters first</w:t>
            </w:r>
          </w:p>
        </w:tc>
        <w:tc>
          <w:tcPr>
            <w:tcW w:type="auto" w:w="0"/>
          </w:tcPr>
          <w:p>
            <w:r>
              <w:t xml:space="preserve"/>
            </w:r>
          </w:p>
        </w:tc>
      </w:tr>
      <w:tr>
        <w:tc>
          <w:tcPr>
            <w:tcW w:type="auto" w:w="0"/>
          </w:tcPr>
          <w:p>
            <w:r>
              <w:t xml:space="preserve">7</w:t>
            </w:r>
          </w:p>
        </w:tc>
        <w:tc>
          <w:tcPr>
            <w:tcW w:type="auto" w:w="0"/>
          </w:tcPr>
          <w:p>
            <w:r>
              <w:t xml:space="preserve">The Craft Guild of Chefs is the UK's leading professional association for chefs, committed to advancing culinary knowledge and skills.</w:t>
            </w:r>
          </w:p>
        </w:tc>
        <w:tc>
          <w:tcPr>
            <w:tcW w:type="auto" w:w="0"/>
          </w:tcPr>
          <w:p>
            <w:r>
              <w:t xml:space="preserve">3</w:t>
            </w:r>
          </w:p>
        </w:tc>
        <w:tc>
          <w:tcPr>
            <w:tcW w:type="auto" w:w="0"/>
          </w:tcPr>
          <w:p>
            <w:r>
              <w:t xml:space="preserve">Craft Guild of Chefs — the professional body</w:t>
            </w:r>
          </w:p>
        </w:tc>
        <w:tc>
          <w:tcPr>
            <w:tcW w:type="auto" w:w="0"/>
          </w:tcPr>
          <w:p>
            <w:r>
              <w:t xml:space="preserve">What matters first</w:t>
            </w:r>
          </w:p>
        </w:tc>
        <w:tc>
          <w:tcPr>
            <w:tcW w:type="auto" w:w="0"/>
          </w:tcPr>
          <w:p>
            <w:r>
              <w:t xml:space="preserve"/>
            </w:r>
          </w:p>
        </w:tc>
      </w:tr>
      <w:tr>
        <w:tc>
          <w:tcPr>
            <w:tcW w:type="auto" w:w="0"/>
          </w:tcPr>
          <w:p>
            <w:r>
              <w:t xml:space="preserve">8</w:t>
            </w:r>
          </w:p>
        </w:tc>
        <w:tc>
          <w:tcPr>
            <w:tcW w:type="auto" w:w="0"/>
          </w:tcPr>
          <w:p>
            <w:r>
              <w:t xml:space="preserve">Food preparation accounts for 45% of the food waste generated in hospitality outlets.</w:t>
            </w:r>
          </w:p>
        </w:tc>
        <w:tc>
          <w:tcPr>
            <w:tcW w:type="auto" w:w="0"/>
          </w:tcPr>
          <w:p>
            <w:r>
              <w:t xml:space="preserve">3</w:t>
            </w:r>
          </w:p>
        </w:tc>
        <w:tc>
          <w:tcPr>
            <w:tcW w:type="auto" w:w="0"/>
          </w:tcPr>
          <w:p>
            <w:r>
              <w:t xml:space="preserve">Food waste in UK hospitality and food service</w:t>
            </w:r>
          </w:p>
        </w:tc>
        <w:tc>
          <w:tcPr>
            <w:tcW w:type="auto" w:w="0"/>
          </w:tcPr>
          <w:p>
            <w:r>
              <w:t xml:space="preserve">Follow the workflow</w:t>
            </w:r>
          </w:p>
        </w:tc>
        <w:tc>
          <w:tcPr>
            <w:tcW w:type="auto" w:w="0"/>
          </w:tcPr>
          <w:p>
            <w:r>
              <w:t xml:space="preserve"/>
            </w:r>
          </w:p>
        </w:tc>
      </w:tr>
      <w:tr>
        <w:tc>
          <w:tcPr>
            <w:tcW w:type="auto" w:w="0"/>
          </w:tcPr>
          <w:p>
            <w:r>
              <w:t xml:space="preserve">9</w:t>
            </w:r>
          </w:p>
        </w:tc>
        <w:tc>
          <w:tcPr>
            <w:tcW w:type="auto" w:w="0"/>
          </w:tcPr>
          <w:p>
            <w:r>
              <w:t xml:space="preserve">In England, Wales, and Northern Ireland, the legal temperature limit for chilled food is 8°C or below.</w:t>
            </w:r>
          </w:p>
        </w:tc>
        <w:tc>
          <w:tcPr>
            <w:tcW w:type="auto" w:w="0"/>
          </w:tcPr>
          <w:p>
            <w:r>
              <w:t xml:space="preserve">3</w:t>
            </w:r>
          </w:p>
        </w:tc>
        <w:tc>
          <w:tcPr>
            <w:tcW w:type="auto" w:w="0"/>
          </w:tcPr>
          <w:p>
            <w:r>
              <w:t xml:space="preserve">Temperature control law — the review lines and limits</w:t>
            </w:r>
          </w:p>
        </w:tc>
        <w:tc>
          <w:tcPr>
            <w:tcW w:type="auto" w:w="0"/>
          </w:tcPr>
          <w:p>
            <w:r>
              <w:t xml:space="preserve">A day in the role; Follow the workflow</w:t>
            </w:r>
          </w:p>
        </w:tc>
        <w:tc>
          <w:tcPr>
            <w:tcW w:type="auto" w:w="0"/>
          </w:tcPr>
          <w:p>
            <w:r>
              <w:t xml:space="preserve"/>
            </w:r>
          </w:p>
        </w:tc>
      </w:tr>
      <w:tr>
        <w:tc>
          <w:tcPr>
            <w:tcW w:type="auto" w:w="0"/>
          </w:tcPr>
          <w:p>
            <w:r>
              <w:t xml:space="preserve">10</w:t>
            </w:r>
          </w:p>
        </w:tc>
        <w:tc>
          <w:tcPr>
            <w:tcW w:type="auto" w:w="0"/>
          </w:tcPr>
          <w:p>
            <w:r>
              <w:t xml:space="preserve">Hot food for service or display must be held at a temperature of 63°C or above.</w:t>
            </w:r>
          </w:p>
        </w:tc>
        <w:tc>
          <w:tcPr>
            <w:tcW w:type="auto" w:w="0"/>
          </w:tcPr>
          <w:p>
            <w:r>
              <w:t xml:space="preserve">3</w:t>
            </w:r>
          </w:p>
        </w:tc>
        <w:tc>
          <w:tcPr>
            <w:tcW w:type="auto" w:w="0"/>
          </w:tcPr>
          <w:p>
            <w:r>
              <w:t xml:space="preserve">Temperature control law — the review lines and limits</w:t>
            </w:r>
          </w:p>
        </w:tc>
        <w:tc>
          <w:tcPr>
            <w:tcW w:type="auto" w:w="0"/>
          </w:tcPr>
          <w:p>
            <w:r>
              <w:t xml:space="preserve">A day in the role; Follow the workflow</w:t>
            </w:r>
          </w:p>
        </w:tc>
        <w:tc>
          <w:tcPr>
            <w:tcW w:type="auto" w:w="0"/>
          </w:tcPr>
          <w:p>
            <w:r>
              <w:t xml:space="preserve"/>
            </w:r>
          </w:p>
        </w:tc>
      </w:tr>
      <w:tr>
        <w:tc>
          <w:tcPr>
            <w:tcW w:type="auto" w:w="0"/>
          </w:tcPr>
          <w:p>
            <w:r>
              <w:t xml:space="preserve">11</w:t>
            </w:r>
          </w:p>
        </w:tc>
        <w:tc>
          <w:tcPr>
            <w:tcW w:type="auto" w:w="0"/>
          </w:tcPr>
          <w:p>
            <w:r>
              <w:t xml:space="preserve">Incomplete or missing food safety logs; likely causes Staff training gaps, Operational pressure, System negligence; checked by Local authority food safety inspection of management systems</w:t>
            </w:r>
          </w:p>
        </w:tc>
        <w:tc>
          <w:tcPr>
            <w:tcW w:type="auto" w:w="0"/>
          </w:tcPr>
          <w:p>
            <w:r>
              <w:t xml:space="preserve">3</w:t>
            </w:r>
          </w:p>
        </w:tc>
        <w:tc>
          <w:tcPr>
            <w:tcW w:type="auto" w:w="0"/>
          </w:tcPr>
          <w:p>
            <w:r>
              <w:t xml:space="preserve">Food Hygiene Rating Scheme — what an inspection actually looks at</w:t>
            </w:r>
          </w:p>
        </w:tc>
        <w:tc>
          <w:tcPr>
            <w:tcW w:type="auto" w:w="0"/>
          </w:tcPr>
          <w:p>
            <w:r>
              <w:t xml:space="preserve">Follow the workflow; What matters first</w:t>
            </w:r>
          </w:p>
        </w:tc>
        <w:tc>
          <w:tcPr>
            <w:tcW w:type="auto" w:w="0"/>
          </w:tcPr>
          <w:p>
            <w:r>
              <w:t xml:space="preserve"/>
            </w:r>
          </w:p>
        </w:tc>
      </w:tr>
      <w:tr>
        <w:tc>
          <w:tcPr>
            <w:tcW w:type="auto" w:w="0"/>
          </w:tcPr>
          <w:p>
            <w:r>
              <w:t xml:space="preserve">12</w:t>
            </w:r>
          </w:p>
        </w:tc>
        <w:tc>
          <w:tcPr>
            <w:tcW w:type="auto" w:w="0"/>
          </w:tcPr>
          <w:p>
            <w:r>
              <w:t xml:space="preserve">There are 14 regulated allergens in the UK that must be declared to customers by law.</w:t>
            </w:r>
          </w:p>
        </w:tc>
        <w:tc>
          <w:tcPr>
            <w:tcW w:type="auto" w:w="0"/>
          </w:tcPr>
          <w:p>
            <w:r>
              <w:t xml:space="preserve">3</w:t>
            </w:r>
          </w:p>
        </w:tc>
        <w:tc>
          <w:tcPr>
            <w:tcW w:type="auto" w:w="0"/>
          </w:tcPr>
          <w:p>
            <w:r>
              <w:t xml:space="preserve">The 14 regulated allergens</w:t>
            </w:r>
          </w:p>
        </w:tc>
        <w:tc>
          <w:tcPr>
            <w:tcW w:type="auto" w:w="0"/>
          </w:tcPr>
          <w:p>
            <w:r>
              <w:t xml:space="preserve">What matters first; Make the call</w:t>
            </w:r>
          </w:p>
        </w:tc>
        <w:tc>
          <w:tcPr>
            <w:tcW w:type="auto" w:w="0"/>
          </w:tcPr>
          <w:p>
            <w:r>
              <w:t xml:space="preserve"/>
            </w:r>
          </w:p>
        </w:tc>
      </w:tr>
      <w:tr>
        <w:tc>
          <w:tcPr>
            <w:tcW w:type="auto" w:w="0"/>
          </w:tcPr>
          <w:p>
            <w:r>
              <w:t xml:space="preserve">13</w:t>
            </w:r>
          </w:p>
        </w:tc>
        <w:tc>
          <w:tcPr>
            <w:tcW w:type="auto" w:w="0"/>
          </w:tcPr>
          <w:p>
            <w:r>
              <w:t xml:space="preserve">A food safety officer from the local authority inspects businesses to verify compliance with food hygiene law.</w:t>
            </w:r>
          </w:p>
        </w:tc>
        <w:tc>
          <w:tcPr>
            <w:tcW w:type="auto" w:w="0"/>
          </w:tcPr>
          <w:p>
            <w:r>
              <w:t xml:space="preserve">3</w:t>
            </w:r>
          </w:p>
        </w:tc>
        <w:tc>
          <w:tcPr>
            <w:tcW w:type="auto" w:w="0"/>
          </w:tcPr>
          <w:p>
            <w:r>
              <w:t xml:space="preserve">Food Hygiene Rating Scheme — what an inspection actually looks at</w:t>
            </w:r>
          </w:p>
        </w:tc>
        <w:tc>
          <w:tcPr>
            <w:tcW w:type="auto" w:w="0"/>
          </w:tcPr>
          <w:p>
            <w:r>
              <w:t xml:space="preserve">What matters first</w:t>
            </w:r>
          </w:p>
        </w:tc>
        <w:tc>
          <w:tcPr>
            <w:tcW w:type="auto" w:w="0"/>
          </w:tcPr>
          <w:p>
            <w:r>
              <w:t xml:space="preserve"/>
            </w:r>
          </w:p>
        </w:tc>
      </w:tr>
      <w:tr>
        <w:tc>
          <w:tcPr>
            <w:tcW w:type="auto" w:w="0"/>
          </w:tcPr>
          <w:p>
            <w:r>
              <w:t xml:space="preserve">19</w:t>
            </w:r>
          </w:p>
        </w:tc>
        <w:tc>
          <w:tcPr>
            <w:tcW w:type="auto" w:w="0"/>
          </w:tcPr>
          <w:p>
            <w:r>
              <w:t xml:space="preserve">Marriott International operates more than 7,000 properties across 130 countries and territories.</w:t>
            </w:r>
          </w:p>
        </w:tc>
        <w:tc>
          <w:tcPr>
            <w:tcW w:type="auto" w:w="0"/>
          </w:tcPr>
          <w:p>
            <w:r>
              <w:t xml:space="preserve">2</w:t>
            </w:r>
          </w:p>
        </w:tc>
        <w:tc>
          <w:tcPr>
            <w:tcW w:type="auto" w:w="0"/>
          </w:tcPr>
          <w:p>
            <w:r>
              <w:t xml:space="preserve">Junior-Sous-Chef-London-Marriott</w:t>
            </w:r>
          </w:p>
        </w:tc>
        <w:tc>
          <w:tcPr>
            <w:tcW w:type="auto" w:w="0"/>
          </w:tcPr>
          <w:p>
            <w:r>
              <w:t xml:space="preserve">A day in the role</w:t>
            </w:r>
          </w:p>
        </w:tc>
        <w:tc>
          <w:tcPr>
            <w:tcW w:type="auto" w:w="0"/>
          </w:tcPr>
          <w:p>
            <w:r>
              <w:t xml:space="preserve"/>
            </w:r>
          </w:p>
        </w:tc>
      </w:tr>
    </w:tbl>
    <w:p>
      <w:pPr>
        <w:pStyle w:val="Heading2"/>
      </w:pPr>
      <w:r>
        <w:t xml:space="preserve">Limitations</w:t>
      </w:r>
    </w:p>
    <w:p>
      <w:r>
        <w:t xml:space="preserve">• Accept at least one evidence-backed fact about the organisation.</w:t>
      </w:r>
    </w:p>
    <w:p>
      <w:r>
        <w:t xml:space="preserve">• Review outstanding facts or explicitly exclude them.</w:t>
      </w:r>
    </w:p>
    <w:p>
      <w:r>
        <w:t xml:space="preserve">• Resolve questions marked as blocking.</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Fact placed outside the requested folders: organisation.size → left unplaced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Fact placed outside the requested folders: organisation.voice → left unplaced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A generated fact was excluded because its quotation or evidence category could not be verified.</w:t>
      </w:r>
    </w:p>
    <w:p>
      <w:r>
        <w:t xml:space="preserve">• Fact placed outside the requested folders: organisation.size → left unplaced</w:t>
      </w:r>
    </w:p>
    <w:p>
      <w:r>
        <w:t xml:space="preserve">• Fact placed outside the requested folders: organisation.voice → left unplaced</w:t>
      </w:r>
    </w:p>
    <w:p>
      <w:r>
        <w:t xml:space="preserve">• A generated fact was excluded because its quotation or evidence category could not be verified.</w:t>
      </w:r>
    </w:p>
    <w:p>
      <w:r>
        <w:t xml:space="preserve">• Fact placed outside the requested folders: brand.colour → left unplaced</w:t>
      </w:r>
    </w:p>
    <w:p>
      <w:r>
        <w:t xml:space="preserve">• A generated fact was excluded because its quotation or evidence category could not be verified.</w:t>
      </w:r>
    </w:p>
    <w:p>
      <w:r>
        <w:t xml:space="preserve">• Fact placed outside the requested folders: brand.house-style → left unplaced</w:t>
      </w:r>
    </w:p>
    <w:p>
      <w:r>
        <w:t xml:space="preserve">• Fact placed outside the requested folders: brand.logo → left unplaced</w:t>
      </w:r>
    </w:p>
    <w:p>
      <w:r>
        <w:t xml:space="preserve">• Research readiness is not the organisation's approval. Occupational context and activity ideas require validation by the organisation.</w:t>
      </w:r>
    </w:p>
    <w:p>
      <w:r>
        <w:t xml:space="preserve">• Template section not found: For the organisation to confirm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2026-09-17T09:44:51.243Z</dcterms:created>
  <dcterms:modified xsi:type="dcterms:W3CDTF">2026-09-17T09:44:51.244Z</dcterms:modified>
</cp:coreProperties>
</file>

<file path=docProps/custom.xml><?xml version="1.0" encoding="utf-8"?>
<Properties xmlns="http://schemas.openxmlformats.org/officeDocument/2006/custom-properties" xmlns:vt="http://schemas.openxmlformats.org/officeDocument/2006/docPropsVTypes"/>
</file>