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24" w:lineRule="auto"/>
      </w:pPr>
      <w:r>
        <w:rPr>
          <w:rFonts w:ascii="Menlo" w:hAnsi="Menlo" w:cs="Menlo"/>
          <w:b w:val="0"/>
          <w:caps w:val="0"/>
          <w:color w:val="B45309"/>
          <w:sz w:val="16"/>
          <w:spacing w:val="24"/>
        </w:rPr>
        <w:t>SPRINT REVIEW  ·  8–22 JULY 2026</w:t>
      </w:r>
    </w:p>
    <w:p>
      <w:pPr>
        <w:spacing w:before="0" w:after="160" w:line="240" w:lineRule="auto"/>
      </w:pPr>
      <w:r>
        <w:rPr>
          <w:rFonts w:ascii="Avenir Next" w:hAnsi="Avenir Next" w:cs="Avenir Next"/>
          <w:b/>
          <w:caps w:val="0"/>
          <w:color w:val="121417"/>
          <w:sz w:val="52"/>
        </w:rPr>
        <w:t>RackTrack sprint update</w:t>
      </w:r>
    </w:p>
    <w:p>
      <w:pPr>
        <w:spacing w:before="0" w:after="280" w:line="324" w:lineRule="auto"/>
      </w:pPr>
      <w:r>
        <w:rPr>
          <w:rFonts w:ascii="Charter" w:hAnsi="Charter" w:cs="Charter"/>
          <w:b w:val="0"/>
          <w:caps w:val="0"/>
          <w:color w:val="33383F"/>
          <w:sz w:val="22"/>
        </w:rPr>
        <w:t>Twenty tasks closed across the app, the vision pipeline, the switch integrations and the build system. Sixteen are live in the product, three are built and tested but still need wiring in, and one is a model evaluation still in progress.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448"/>
        <w:gridCol w:w="2448"/>
        <w:gridCol w:w="2448"/>
        <w:gridCol w:w="2448"/>
      </w:tblGrid>
      <w:tr>
        <w:tc>
          <w:tcPr>
            <w:tcW w:type="dxa" w:w="2448"/>
            <w:shd w:val="clear" w:fill="F7F7F8"/>
            <w:tcMar>
              <w:top w:w="120" w:type="dxa"/>
              <w:start w:w="140" w:type="dxa"/>
              <w:bottom w:w="120" w:type="dxa"/>
              <w:end w:w="140" w:type="dxa"/>
            </w:tcMar>
            <w:tcBorders>
              <w:left w:val="single" w:sz="24" w:space="0" w:color="FFFFFF"/>
              <w:right w:val="single" w:sz="24" w:space="0" w:color="FFFFFF"/>
            </w:tcBorders>
          </w:tcPr>
          <w:p>
            <w:pPr>
              <w:spacing w:after="40" w:line="240" w:lineRule="auto"/>
            </w:pPr>
            <w:r/>
            <w:r>
              <w:rPr>
                <w:rFonts w:ascii="Avenir Next" w:hAnsi="Avenir Next" w:cs="Avenir Next"/>
                <w:b/>
                <w:caps w:val="0"/>
                <w:color w:val="121417"/>
                <w:sz w:val="36"/>
              </w:rPr>
              <w:t>20</w:t>
            </w:r>
          </w:p>
          <w:p>
            <w:pPr>
              <w:spacing w:before="0" w:after="0" w:line="240" w:lineRule="auto"/>
            </w:pPr>
            <w:r>
              <w:rPr>
                <w:rFonts w:ascii="Menlo" w:hAnsi="Menlo" w:cs="Menlo"/>
                <w:b w:val="0"/>
                <w:caps w:val="0"/>
                <w:color w:val="717171"/>
                <w:sz w:val="14"/>
                <w:spacing w:val="20"/>
              </w:rPr>
              <w:t>TASKS CLOSED</w:t>
            </w:r>
          </w:p>
        </w:tc>
        <w:tc>
          <w:tcPr>
            <w:tcW w:type="dxa" w:w="2448"/>
            <w:shd w:val="clear" w:fill="F7F7F8"/>
            <w:tcMar>
              <w:top w:w="120" w:type="dxa"/>
              <w:start w:w="140" w:type="dxa"/>
              <w:bottom w:w="120" w:type="dxa"/>
              <w:end w:w="140" w:type="dxa"/>
            </w:tcMar>
            <w:tcBorders>
              <w:left w:val="single" w:sz="24" w:space="0" w:color="FFFFFF"/>
              <w:right w:val="single" w:sz="24" w:space="0" w:color="FFFFFF"/>
            </w:tcBorders>
          </w:tcPr>
          <w:p>
            <w:pPr>
              <w:spacing w:after="40" w:line="240" w:lineRule="auto"/>
            </w:pPr>
            <w:r/>
            <w:r>
              <w:rPr>
                <w:rFonts w:ascii="Avenir Next" w:hAnsi="Avenir Next" w:cs="Avenir Next"/>
                <w:b/>
                <w:caps w:val="0"/>
                <w:color w:val="15803D"/>
                <w:sz w:val="36"/>
              </w:rPr>
              <w:t>16</w:t>
            </w:r>
          </w:p>
          <w:p>
            <w:pPr>
              <w:spacing w:before="0" w:after="0" w:line="240" w:lineRule="auto"/>
            </w:pPr>
            <w:r>
              <w:rPr>
                <w:rFonts w:ascii="Menlo" w:hAnsi="Menlo" w:cs="Menlo"/>
                <w:b w:val="0"/>
                <w:caps w:val="0"/>
                <w:color w:val="717171"/>
                <w:sz w:val="14"/>
                <w:spacing w:val="20"/>
              </w:rPr>
              <w:t>INTEGRATED</w:t>
            </w:r>
          </w:p>
        </w:tc>
        <w:tc>
          <w:tcPr>
            <w:tcW w:type="dxa" w:w="2448"/>
            <w:shd w:val="clear" w:fill="F7F7F8"/>
            <w:tcMar>
              <w:top w:w="120" w:type="dxa"/>
              <w:start w:w="140" w:type="dxa"/>
              <w:bottom w:w="120" w:type="dxa"/>
              <w:end w:w="140" w:type="dxa"/>
            </w:tcMar>
            <w:tcBorders>
              <w:left w:val="single" w:sz="24" w:space="0" w:color="FFFFFF"/>
              <w:right w:val="single" w:sz="24" w:space="0" w:color="FFFFFF"/>
            </w:tcBorders>
          </w:tcPr>
          <w:p>
            <w:pPr>
              <w:spacing w:after="40" w:line="240" w:lineRule="auto"/>
            </w:pPr>
            <w:r/>
            <w:r>
              <w:rPr>
                <w:rFonts w:ascii="Avenir Next" w:hAnsi="Avenir Next" w:cs="Avenir Next"/>
                <w:b/>
                <w:caps w:val="0"/>
                <w:color w:val="B45309"/>
                <w:sz w:val="36"/>
              </w:rPr>
              <w:t>3</w:t>
            </w:r>
          </w:p>
          <w:p>
            <w:pPr>
              <w:spacing w:before="0" w:after="0" w:line="240" w:lineRule="auto"/>
            </w:pPr>
            <w:r>
              <w:rPr>
                <w:rFonts w:ascii="Menlo" w:hAnsi="Menlo" w:cs="Menlo"/>
                <w:b w:val="0"/>
                <w:caps w:val="0"/>
                <w:color w:val="717171"/>
                <w:sz w:val="14"/>
                <w:spacing w:val="20"/>
              </w:rPr>
              <w:t>TO INTEGRATE</w:t>
            </w:r>
          </w:p>
        </w:tc>
        <w:tc>
          <w:tcPr>
            <w:tcW w:type="dxa" w:w="2448"/>
            <w:shd w:val="clear" w:fill="F7F7F8"/>
            <w:tcMar>
              <w:top w:w="120" w:type="dxa"/>
              <w:start w:w="140" w:type="dxa"/>
              <w:bottom w:w="120" w:type="dxa"/>
              <w:end w:w="140" w:type="dxa"/>
            </w:tcMar>
            <w:tcBorders>
              <w:left w:val="single" w:sz="24" w:space="0" w:color="FFFFFF"/>
              <w:right w:val="single" w:sz="24" w:space="0" w:color="FFFFFF"/>
            </w:tcBorders>
          </w:tcPr>
          <w:p>
            <w:pPr>
              <w:spacing w:after="40" w:line="240" w:lineRule="auto"/>
            </w:pPr>
            <w:r/>
            <w:r>
              <w:rPr>
                <w:rFonts w:ascii="Avenir Next" w:hAnsi="Avenir Next" w:cs="Avenir Next"/>
                <w:b/>
                <w:caps w:val="0"/>
                <w:color w:val="121417"/>
                <w:sz w:val="36"/>
              </w:rPr>
              <w:t>122</w:t>
            </w:r>
          </w:p>
          <w:p>
            <w:pPr>
              <w:spacing w:before="0" w:after="0" w:line="240" w:lineRule="auto"/>
            </w:pPr>
            <w:r>
              <w:rPr>
                <w:rFonts w:ascii="Menlo" w:hAnsi="Menlo" w:cs="Menlo"/>
                <w:b w:val="0"/>
                <w:caps w:val="0"/>
                <w:color w:val="717171"/>
                <w:sz w:val="14"/>
                <w:spacing w:val="20"/>
              </w:rPr>
              <w:t>COMMITS</w:t>
            </w:r>
          </w:p>
        </w:tc>
      </w:tr>
    </w:tbl>
    <w:p>
      <w:pPr>
        <w:spacing w:before="0" w:after="200" w:line="324" w:lineRule="auto"/>
      </w:pPr>
    </w:p>
    <w:p>
      <w:pPr>
        <w:spacing w:before="120" w:after="40" w:line="324" w:lineRule="auto"/>
        <w:pBdr>
          <w:bottom w:val="single" w:sz="12" w:space="4" w:color="121417"/>
        </w:pBdr>
      </w:pPr>
      <w:r>
        <w:rPr>
          <w:rFonts w:ascii="Avenir Next" w:hAnsi="Avenir Next" w:cs="Avenir Next"/>
          <w:b/>
          <w:caps w:val="0"/>
          <w:color w:val="121417"/>
          <w:sz w:val="26"/>
        </w:rPr>
        <w:t>What we closed</w:t>
      </w:r>
      <w:r>
        <w:rPr>
          <w:rFonts w:ascii="Menlo" w:hAnsi="Menlo" w:cs="Menlo"/>
          <w:b w:val="0"/>
          <w:caps w:val="0"/>
          <w:color w:val="717171"/>
          <w:sz w:val="14"/>
          <w:spacing w:val="20"/>
        </w:rPr>
        <w:tab/>
        <w:tab/>
        <w:tab/>
        <w:tab/>
        <w:tab/>
        <w:tab/>
        <w:t xml:space="preserve">   OWNER AND STATUS ON THE RIGHT</w:t>
      </w:r>
    </w:p>
    <w:p>
      <w:pPr>
        <w:spacing w:before="0" w:after="80" w:line="324"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01</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Audit</w:t>
            </w:r>
          </w:p>
          <w:p>
            <w:pPr>
              <w:spacing w:before="0" w:after="0" w:line="336" w:lineRule="auto"/>
            </w:pPr>
            <w:r>
              <w:rPr>
                <w:rFonts w:ascii="Charter" w:hAnsi="Charter" w:cs="Charter"/>
                <w:b w:val="0"/>
                <w:caps w:val="0"/>
                <w:color w:val="33383F"/>
                <w:sz w:val="21"/>
              </w:rPr>
              <w:t>We ran full-codebase audits, then an adversarial re-audit and an 11-agent re-audit of our own fixes, and closed everything found — 18 findings in one batch plus several smaller ones across app, server and pipeline. The serious ones were security: switch routes were handing credentials to unauthenticated callers, rack IDs were not scoped to the owning organisation, and CI now blocks the shipping branch so those fixes cannot quietly regress.</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Aasritha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B45309"/>
                <w:sz w:val="18"/>
              </w:rPr>
              <w:t>02</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Firmware</w:t>
            </w:r>
          </w:p>
          <w:p>
            <w:pPr>
              <w:spacing w:before="0" w:after="0" w:line="336" w:lineRule="auto"/>
            </w:pPr>
            <w:r>
              <w:rPr>
                <w:rFonts w:ascii="Charter" w:hAnsi="Charter" w:cs="Charter"/>
                <w:b w:val="0"/>
                <w:caps w:val="0"/>
                <w:color w:val="33383F"/>
                <w:sz w:val="21"/>
              </w:rPr>
              <w:t>A firmware lookup service that takes a vendor and model and says whether a newer official version exists — 110 vendors, each handled by its own module driving the vendor's real site in a browser. It never invents a version, never uses an unofficial source, never bypasses a CAPTCHA and never crashes; every failure comes back as a clear status, results are cached per vendor, and it runs from both a command line and a demo web page.</w:t>
            </w:r>
          </w:p>
        </w:tc>
        <w:tc>
          <w:tcPr>
            <w:tcW w:type="dxa" w:w="2736"/>
            <w:shd w:val="clear" w:fill="FAFAFB"/>
            <w:tcMar>
              <w:top w:w="120" w:type="dxa"/>
              <w:start w:w="140" w:type="dxa"/>
              <w:bottom w:w="120" w:type="dxa"/>
              <w:end w:w="140" w:type="dxa"/>
            </w:tcMar>
            <w:tcBorders>
              <w:left w:val="single" w:sz="18" w:space="0" w:color="F59E0B"/>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Srikanth</w:t>
            </w:r>
          </w:p>
          <w:p>
            <w:pPr>
              <w:spacing w:before="0" w:after="0" w:line="276" w:lineRule="auto"/>
            </w:pPr>
            <w:r>
              <w:rPr>
                <w:rFonts w:ascii="Menlo" w:hAnsi="Menlo" w:cs="Menlo"/>
                <w:b/>
                <w:caps w:val="0"/>
                <w:color w:val="B45309"/>
                <w:sz w:val="13"/>
                <w:spacing w:val="18"/>
              </w:rPr>
              <w:t>STILL NEEDS INTEGRATION</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B45309"/>
                <w:sz w:val="18"/>
              </w:rPr>
              <w:t>03</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Command line matrix</w:t>
            </w:r>
          </w:p>
          <w:p>
            <w:pPr>
              <w:spacing w:before="0" w:after="0" w:line="336" w:lineRule="auto"/>
            </w:pPr>
            <w:r>
              <w:rPr>
                <w:rFonts w:ascii="Charter" w:hAnsi="Charter" w:cs="Charter"/>
                <w:b w:val="0"/>
                <w:caps w:val="0"/>
                <w:color w:val="33383F"/>
                <w:sz w:val="21"/>
              </w:rPr>
              <w:t>The switch CLI matrix is done — 52 vendors across seven command categories: system identity, port status, port config, LLDP neighbours, PoE, VLANs, and how to turn off paging for SSH scripts. All our switch polling rests on this, so adding a new vendor becomes filling in a row instead of guesswork.</w:t>
            </w:r>
          </w:p>
        </w:tc>
        <w:tc>
          <w:tcPr>
            <w:tcW w:type="dxa" w:w="2736"/>
            <w:shd w:val="clear" w:fill="FAFAFB"/>
            <w:tcMar>
              <w:top w:w="120" w:type="dxa"/>
              <w:start w:w="140" w:type="dxa"/>
              <w:bottom w:w="120" w:type="dxa"/>
              <w:end w:w="140" w:type="dxa"/>
            </w:tcMar>
            <w:tcBorders>
              <w:left w:val="single" w:sz="18" w:space="0" w:color="F59E0B"/>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Shankar</w:t>
            </w:r>
          </w:p>
          <w:p>
            <w:pPr>
              <w:spacing w:before="0" w:after="0" w:line="276" w:lineRule="auto"/>
            </w:pPr>
            <w:r>
              <w:rPr>
                <w:rFonts w:ascii="Menlo" w:hAnsi="Menlo" w:cs="Menlo"/>
                <w:b/>
                <w:caps w:val="0"/>
                <w:color w:val="B45309"/>
                <w:sz w:val="13"/>
                <w:spacing w:val="18"/>
              </w:rPr>
              <w:t>STILL NEEDS INTEGRATION</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B45309"/>
                <w:sz w:val="18"/>
              </w:rPr>
              <w:t>04</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ServiceNow multi-account testing</w:t>
            </w:r>
          </w:p>
          <w:p>
            <w:pPr>
              <w:spacing w:before="0" w:after="0" w:line="336" w:lineRule="auto"/>
            </w:pPr>
            <w:r>
              <w:rPr>
                <w:rFonts w:ascii="Charter" w:hAnsi="Charter" w:cs="Charter"/>
                <w:b w:val="0"/>
                <w:caps w:val="0"/>
                <w:color w:val="33383F"/>
                <w:sz w:val="21"/>
              </w:rPr>
              <w:t>We created five dummy users in the ServiceNow dev instance, each with five sample incidents tied to specific rack devices — switches, servers, patch panels — with realistic issue details. Logging in as each user separately, the system returned only that user's incidents, with the right device and port details and the CMDB-enriched fields: IP address, serial number and rack location. All five users came back accurate and user-specific, so the real-world multi-tenant case holds.</w:t>
            </w:r>
          </w:p>
        </w:tc>
        <w:tc>
          <w:tcPr>
            <w:tcW w:type="dxa" w:w="2736"/>
            <w:shd w:val="clear" w:fill="FAFAFB"/>
            <w:tcMar>
              <w:top w:w="120" w:type="dxa"/>
              <w:start w:w="140" w:type="dxa"/>
              <w:bottom w:w="120" w:type="dxa"/>
              <w:end w:w="140" w:type="dxa"/>
            </w:tcMar>
            <w:tcBorders>
              <w:left w:val="single" w:sz="18" w:space="0" w:color="F59E0B"/>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Jaya</w:t>
            </w:r>
          </w:p>
          <w:p>
            <w:pPr>
              <w:spacing w:before="0" w:after="0" w:line="276" w:lineRule="auto"/>
            </w:pPr>
            <w:r>
              <w:rPr>
                <w:rFonts w:ascii="Menlo" w:hAnsi="Menlo" w:cs="Menlo"/>
                <w:b/>
                <w:caps w:val="0"/>
                <w:color w:val="B45309"/>
                <w:sz w:val="13"/>
                <w:spacing w:val="18"/>
              </w:rPr>
              <w:t>STILL NEEDS INTEGRATION</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05</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Marketplace</w:t>
            </w:r>
          </w:p>
          <w:p>
            <w:pPr>
              <w:spacing w:before="0" w:after="0" w:line="336" w:lineRule="auto"/>
            </w:pPr>
            <w:r>
              <w:rPr>
                <w:rFonts w:ascii="Charter" w:hAnsi="Charter" w:cs="Charter"/>
                <w:b w:val="0"/>
                <w:caps w:val="0"/>
                <w:color w:val="33383F"/>
                <w:sz w:val="21"/>
              </w:rPr>
              <w:t>The unread-count endpoint was unreachable and now works, and the Stripe issue the audit raised is closed. The full marketplace behaviour is written up so the rest of the team can work against it.</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Jaya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06</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Support bot</w:t>
            </w:r>
          </w:p>
          <w:p>
            <w:pPr>
              <w:spacing w:before="0" w:after="0" w:line="336" w:lineRule="auto"/>
            </w:pPr>
            <w:r>
              <w:rPr>
                <w:rFonts w:ascii="Charter" w:hAnsi="Charter" w:cs="Charter"/>
                <w:b w:val="0"/>
                <w:caps w:val="0"/>
                <w:color w:val="33383F"/>
                <w:sz w:val="21"/>
              </w:rPr>
              <w:t>The assistant is now called DOT, with its own logo and a single clean Help page instead of the old stacked headers. We removed the tier system, corrected the knowledge base so it actually answers questions, laid it out per screen and shipped it on the web — with its own evaluation and coverage checks.</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Aasritha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07</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OCR leverage</w:t>
            </w:r>
          </w:p>
          <w:p>
            <w:pPr>
              <w:spacing w:before="0" w:after="0" w:line="336" w:lineRule="auto"/>
            </w:pPr>
            <w:r>
              <w:rPr>
                <w:rFonts w:ascii="Charter" w:hAnsi="Charter" w:cs="Charter"/>
                <w:b w:val="0"/>
                <w:caps w:val="0"/>
                <w:color w:val="33383F"/>
                <w:sz w:val="21"/>
              </w:rPr>
              <w:t>The rack photo is now read once by our own switch OCR, and EasyOCR is out of the device OCR path completely. We also caught a bad default that was making that path roughly a thousand times slower than it needed to be.</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Prasanna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08</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EVE-NG integration</w:t>
            </w:r>
          </w:p>
          <w:p>
            <w:pPr>
              <w:spacing w:before="0" w:after="0" w:line="336" w:lineRule="auto"/>
            </w:pPr>
            <w:r>
              <w:rPr>
                <w:rFonts w:ascii="Charter" w:hAnsi="Charter" w:cs="Charter"/>
                <w:b w:val="0"/>
                <w:caps w:val="0"/>
                <w:color w:val="33383F"/>
                <w:sz w:val="21"/>
              </w:rPr>
              <w:t>The owner-only Lab page runs a full switch audit — identity, PoE, VLANs, LLDP, MAC — and now finds neighbours over CDP as well as LLDP, with Cisco IOL interfaces keyed correctly. It does all of it over one shared SSH session instead of a new connection per command, audits automatically when a switch is selected, and polls hourly rather than every sixty seconds.</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Aasritha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09</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Occlusion classifier</w:t>
            </w:r>
          </w:p>
          <w:p>
            <w:pPr>
              <w:spacing w:before="0" w:after="0" w:line="336" w:lineRule="auto"/>
            </w:pPr>
            <w:r>
              <w:rPr>
                <w:rFonts w:ascii="Charter" w:hAnsi="Charter" w:cs="Charter"/>
                <w:b w:val="0"/>
                <w:caps w:val="0"/>
                <w:color w:val="33383F"/>
                <w:sz w:val="21"/>
              </w:rPr>
              <w:t>Upload occlusion checks now use the trained classifier instead of the old heuristic. The block sits at 0.55, so an occluded rack asks the user for side photos rather than quietly returning a bad scan.</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Geethika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10</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Organisation workflow</w:t>
            </w:r>
          </w:p>
          <w:p>
            <w:pPr>
              <w:spacing w:before="0" w:after="0" w:line="336" w:lineRule="auto"/>
            </w:pPr>
            <w:r>
              <w:rPr>
                <w:rFonts w:ascii="Charter" w:hAnsi="Charter" w:cs="Charter"/>
                <w:b w:val="0"/>
                <w:caps w:val="0"/>
                <w:color w:val="33383F"/>
                <w:sz w:val="21"/>
              </w:rPr>
              <w:t>Users now get stable role-based public IDs — owner, admin, user — assigned on signup and backfilled for existing accounts. Organisation approval is enforced on the server instead of in client routing, and people show as “Name (ID)” in the Operations Console.</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Aasritha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11</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UI and integration</w:t>
            </w:r>
          </w:p>
          <w:p>
            <w:pPr>
              <w:spacing w:before="0" w:after="0" w:line="336" w:lineRule="auto"/>
            </w:pPr>
            <w:r>
              <w:rPr>
                <w:rFonts w:ascii="Charter" w:hAnsi="Charter" w:cs="Charter"/>
                <w:b w:val="0"/>
                <w:caps w:val="0"/>
                <w:color w:val="33383F"/>
                <w:sz w:val="21"/>
              </w:rPr>
              <w:t>One font across the whole app, the icon font replaced with clean inline graphics, every page fitting a 320px phone, and the phone now offering the same destinations as the sidebar. We also fixed the camera black bar, the zoom freeze, Scan page scrolling, the Upload button and the clipped port-history table, and stopped a render error from white-screening the whole app.</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Aasritha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12</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Two-rack scanning and topology</w:t>
            </w:r>
          </w:p>
          <w:p>
            <w:pPr>
              <w:spacing w:before="0" w:after="0" w:line="336" w:lineRule="auto"/>
            </w:pPr>
            <w:r>
              <w:rPr>
                <w:rFonts w:ascii="Charter" w:hAnsi="Charter" w:cs="Charter"/>
                <w:b w:val="0"/>
                <w:caps w:val="0"/>
                <w:color w:val="33383F"/>
                <w:sz w:val="21"/>
              </w:rPr>
              <w:t>Two-rack view now reuses the same Overview, Switches, Network and Topology screens side by side, so there is no separate report page to keep in sync. We tracked down three separate root causes behind “one rack shown as two” and “two racks shown as one”, anchored the inter-rack cables to real switches, and put the camera on the two-rack screen.</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Aasritha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13</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Operations console and logs</w:t>
            </w:r>
          </w:p>
          <w:p>
            <w:pPr>
              <w:spacing w:before="0" w:after="0" w:line="336" w:lineRule="auto"/>
            </w:pPr>
            <w:r>
              <w:rPr>
                <w:rFonts w:ascii="Charter" w:hAnsi="Charter" w:cs="Charter"/>
                <w:b w:val="0"/>
                <w:caps w:val="0"/>
                <w:color w:val="33383F"/>
                <w:sz w:val="21"/>
              </w:rPr>
              <w:t>Live Ops and Logs are merged into one Operations Console with two tabs, plus a Clear log button. We also fixed the log viewer, which was flooding the log with its own polling requests.</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Aasritha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14</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iOS and Android builds</w:t>
            </w:r>
          </w:p>
          <w:p>
            <w:pPr>
              <w:spacing w:before="0" w:after="0" w:line="336" w:lineRule="auto"/>
            </w:pPr>
            <w:r>
              <w:rPr>
                <w:rFonts w:ascii="Charter" w:hAnsi="Charter" w:cs="Charter"/>
                <w:b w:val="0"/>
                <w:caps w:val="0"/>
                <w:color w:val="33383F"/>
                <w:sz w:val="21"/>
              </w:rPr>
              <w:t>The iOS build now bumps its own build number instead of relying on someone remembering, and iOS got the same one-command ship path Android already had. We pinned the backend URL in one place, removed a local production override that was silently poisoning every release build, and made the build refuse to ship an Android release we cannot sign.</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Aasritha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15</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Port type active learning</w:t>
            </w:r>
          </w:p>
          <w:p>
            <w:pPr>
              <w:spacing w:before="0" w:after="0" w:line="336" w:lineRule="auto"/>
            </w:pPr>
            <w:r>
              <w:rPr>
                <w:rFonts w:ascii="Charter" w:hAnsi="Charter" w:cs="Charter"/>
                <w:b w:val="0"/>
                <w:caps w:val="0"/>
                <w:color w:val="33383F"/>
                <w:sz w:val="21"/>
              </w:rPr>
              <w:t>Port-type and confirmed-rack active learning are live, with the SFP rules feeding the same loop, and one standard feedback pattern — Yes / No, then a dropdown with Other, then thanks — at all five feedback points; anything already answered is skipped. On the training side there is a model registry, a fixed holdout set and promotion logic, so a new model only replaces the current one if it wins on holdout.</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Shankar</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16</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Documentation</w:t>
            </w:r>
          </w:p>
          <w:p>
            <w:pPr>
              <w:spacing w:before="0" w:after="0" w:line="336" w:lineRule="auto"/>
            </w:pPr>
            <w:r>
              <w:rPr>
                <w:rFonts w:ascii="Charter" w:hAnsi="Charter" w:cs="Charter"/>
                <w:b w:val="0"/>
                <w:caps w:val="0"/>
                <w:color w:val="33383F"/>
                <w:sz w:val="21"/>
              </w:rPr>
              <w:t>iPhone and iPad user guides in three formats, an illustrated guide, and nineteen feature documents covering scanning, multi-rack, topology, drift, marketplace, firmware and organisation administration. Setup guides for the Windows server and the Mac build machine are in as well, plus the build 11 to 15 changelog and fresh phone and tablet screenshots.</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Shankar &amp; Geethika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17</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Data collection, annotation and dataset</w:t>
            </w:r>
          </w:p>
          <w:p>
            <w:pPr>
              <w:spacing w:before="0" w:after="0" w:line="336" w:lineRule="auto"/>
            </w:pPr>
            <w:r>
              <w:rPr>
                <w:rFonts w:ascii="Charter" w:hAnsi="Charter" w:cs="Charter"/>
                <w:b w:val="0"/>
                <w:caps w:val="0"/>
                <w:color w:val="33383F"/>
                <w:sz w:val="21"/>
              </w:rPr>
              <w:t>Six trained models are now tracked and versioned: device segmentation, cable, PDU ports, port count, ports v9 and the rack classifier. We also built a real wrong-prediction corpus from live usage — around 250 captured cases — and cleared the retraining temp and review images that were bloating the repository.</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Network team</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18</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Automated Firebase and TestFlight</w:t>
            </w:r>
          </w:p>
          <w:p>
            <w:pPr>
              <w:spacing w:before="0" w:after="0" w:line="336" w:lineRule="auto"/>
            </w:pPr>
            <w:r>
              <w:rPr>
                <w:rFonts w:ascii="Charter" w:hAnsi="Charter" w:cs="Charter"/>
                <w:b w:val="0"/>
                <w:caps w:val="0"/>
                <w:color w:val="33383F"/>
                <w:sz w:val="21"/>
              </w:rPr>
              <w:t>Export compliance is now declared in the app itself, so builds reach TestFlight unattended instead of waiting for someone to answer a prompt each time. Deployment pulls, builds, restarts and then verifies the live commit — stopping on a failed pull — and the server reports its running commit, so a stale deploy is visible immediately.</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Aasritha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19</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Admin and owner dashboard</w:t>
            </w:r>
          </w:p>
          <w:p>
            <w:pPr>
              <w:spacing w:before="0" w:after="0" w:line="336" w:lineRule="auto"/>
            </w:pPr>
            <w:r>
              <w:rPr>
                <w:rFonts w:ascii="Charter" w:hAnsi="Charter" w:cs="Charter"/>
                <w:b w:val="0"/>
                <w:caps w:val="0"/>
                <w:color w:val="33383F"/>
                <w:sz w:val="21"/>
              </w:rPr>
              <w:t>The owner dashboard was rebuilt to show live data across the whole organisation. It also resolves attempted identity on blocked-login events, so a failed sign-in is attributable to a person instead of appearing as anonymous.</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Aasritha</w:t>
            </w:r>
          </w:p>
          <w:p>
            <w:pPr>
              <w:spacing w:before="0" w:after="0" w:line="276" w:lineRule="auto"/>
            </w:pPr>
            <w:r>
              <w:rPr>
                <w:rFonts w:ascii="Menlo" w:hAnsi="Menlo" w:cs="Menlo"/>
                <w:b/>
                <w:caps w:val="0"/>
                <w:color w:val="15803D"/>
                <w:sz w:val="13"/>
                <w:spacing w:val="18"/>
              </w:rPr>
              <w:t>INTEGRATED</w:t>
            </w:r>
          </w:p>
        </w:tc>
      </w:tr>
    </w:tbl>
    <w:p>
      <w:pPr>
        <w:spacing w:before="0" w:after="120" w:line="240" w:lineRule="auto"/>
        <w:pBdr>
          <w:bottom w:val="single" w:sz="4" w:space="1" w:color="E2E3E6"/>
        </w:pBdr>
      </w:pPr>
      <w:r>
        <w:rPr>
          <w:rFonts w:ascii="Charter" w:hAnsi="Charter" w:cs="Charter"/>
          <w:b w:val="0"/>
          <w:caps w:val="0"/>
          <w:color w:val="121417"/>
          <w:sz w:val="2"/>
        </w:rPr>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64"/>
        <w:gridCol w:w="3264"/>
        <w:gridCol w:w="3264"/>
      </w:tblGrid>
      <w:tr>
        <w:tc>
          <w:tcPr>
            <w:tcW w:type="dxa" w:w="576"/>
            <w:tcMar>
              <w:top w:w="100" w:type="dxa"/>
              <w:start w:w="0" w:type="dxa"/>
              <w:bottom w:w="140" w:type="dxa"/>
              <w:end w:w="60" w:type="dxa"/>
            </w:tcMar>
          </w:tcPr>
          <w:p>
            <w:pPr>
              <w:spacing w:after="0"/>
            </w:pPr>
            <w:r/>
            <w:r>
              <w:rPr>
                <w:rFonts w:ascii="Menlo" w:hAnsi="Menlo" w:cs="Menlo"/>
                <w:b w:val="0"/>
                <w:caps w:val="0"/>
                <w:color w:val="9A9BA0"/>
                <w:sz w:val="18"/>
              </w:rPr>
              <w:t>20</w:t>
            </w:r>
          </w:p>
        </w:tc>
        <w:tc>
          <w:tcPr>
            <w:tcW w:type="dxa" w:w="6408"/>
            <w:tcMar>
              <w:top w:w="100" w:type="dxa"/>
              <w:start w:w="0" w:type="dxa"/>
              <w:bottom w:w="140" w:type="dxa"/>
              <w:end w:w="200" w:type="dxa"/>
            </w:tcMar>
          </w:tcPr>
          <w:p>
            <w:pPr>
              <w:spacing w:after="80" w:line="264" w:lineRule="auto"/>
            </w:pPr>
            <w:r/>
            <w:r>
              <w:rPr>
                <w:rFonts w:ascii="Avenir Next" w:hAnsi="Avenir Next" w:cs="Avenir Next"/>
                <w:b/>
                <w:caps w:val="0"/>
                <w:color w:val="121417"/>
                <w:sz w:val="24"/>
              </w:rPr>
              <w:t>Device model improvement</w:t>
            </w:r>
          </w:p>
          <w:p>
            <w:pPr>
              <w:spacing w:before="0" w:after="0" w:line="336" w:lineRule="auto"/>
            </w:pPr>
            <w:r>
              <w:rPr>
                <w:rFonts w:ascii="Charter" w:hAnsi="Charter" w:cs="Charter"/>
                <w:b w:val="0"/>
                <w:caps w:val="0"/>
                <w:color w:val="33383F"/>
                <w:sz w:val="21"/>
              </w:rPr>
              <w:t>We started testing detection architectures other than YOLO on our rack device data, RT-DETR in particular, to see whether a transformer detector reads dense port rows and partially hidden devices better than what we run today. This is evaluation work for now — nothing has replaced the shipping model yet.</w:t>
            </w:r>
          </w:p>
        </w:tc>
        <w:tc>
          <w:tcPr>
            <w:tcW w:type="dxa" w:w="2736"/>
            <w:shd w:val="clear" w:fill="FAFAFB"/>
            <w:tcMar>
              <w:top w:w="120" w:type="dxa"/>
              <w:start w:w="140" w:type="dxa"/>
              <w:bottom w:w="120" w:type="dxa"/>
              <w:end w:w="140" w:type="dxa"/>
            </w:tcMar>
            <w:tcBorders>
              <w:left w:val="single" w:sz="18" w:space="0" w:color="C8C8CC"/>
              <w:top w:val="single" w:sz="6" w:space="0" w:color="E2E3E6"/>
              <w:bottom w:val="single" w:sz="6" w:space="0" w:color="E2E3E6"/>
              <w:right w:val="single" w:sz="6" w:space="0" w:color="E2E3E6"/>
            </w:tcBorders>
          </w:tcPr>
          <w:p>
            <w:pPr>
              <w:spacing w:after="20" w:line="240" w:lineRule="auto"/>
            </w:pPr>
            <w:r/>
            <w:r>
              <w:rPr>
                <w:rFonts w:ascii="Menlo" w:hAnsi="Menlo" w:cs="Menlo"/>
                <w:b w:val="0"/>
                <w:caps w:val="0"/>
                <w:color w:val="9A9BA0"/>
                <w:sz w:val="13"/>
                <w:spacing w:val="22"/>
              </w:rPr>
              <w:t>OWNER</w:t>
            </w:r>
          </w:p>
          <w:p>
            <w:pPr>
              <w:spacing w:before="0" w:after="100" w:line="252" w:lineRule="auto"/>
            </w:pPr>
            <w:r>
              <w:rPr>
                <w:rFonts w:ascii="Avenir Next" w:hAnsi="Avenir Next" w:cs="Avenir Next"/>
                <w:b/>
                <w:caps w:val="0"/>
                <w:color w:val="121417"/>
                <w:sz w:val="21"/>
              </w:rPr>
              <w:t>Geethika</w:t>
            </w:r>
          </w:p>
          <w:p>
            <w:pPr>
              <w:spacing w:before="0" w:after="0" w:line="276" w:lineRule="auto"/>
            </w:pPr>
            <w:r>
              <w:rPr>
                <w:rFonts w:ascii="Menlo" w:hAnsi="Menlo" w:cs="Menlo"/>
                <w:b/>
                <w:caps w:val="0"/>
                <w:color w:val="3F4A57"/>
                <w:sz w:val="13"/>
                <w:spacing w:val="18"/>
              </w:rPr>
              <w:t>IN EVALUATION</w:t>
            </w:r>
          </w:p>
        </w:tc>
      </w:tr>
    </w:tbl>
    <w:p>
      <w:pPr>
        <w:spacing w:before="0" w:after="120" w:line="240" w:lineRule="auto"/>
        <w:pBdr>
          <w:bottom w:val="single" w:sz="4" w:space="1" w:color="E2E3E6"/>
        </w:pBdr>
      </w:pPr>
      <w:r>
        <w:rPr>
          <w:rFonts w:ascii="Charter" w:hAnsi="Charter" w:cs="Charter"/>
          <w:b w:val="0"/>
          <w:caps w:val="0"/>
          <w:color w:val="121417"/>
          <w:sz w:val="2"/>
        </w:rPr>
      </w:r>
    </w:p>
    <w:p>
      <w:pPr>
        <w:spacing w:before="280" w:after="0" w:line="324" w:lineRule="auto"/>
      </w:pPr>
      <w:r>
        <w:rPr>
          <w:rFonts w:ascii="Menlo" w:hAnsi="Menlo" w:cs="Menlo"/>
          <w:b w:val="0"/>
          <w:caps w:val="0"/>
          <w:color w:val="9A9BA0"/>
          <w:sz w:val="14"/>
          <w:spacing w:val="20"/>
        </w:rPr>
        <w:t>RACKTRACK  ·  SPRINT UPDATE PREPARED 22 JULY 2026</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harter" w:hAnsi="Charter" w:eastAsia="Char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