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w:hAnsi="Calibri"/>
          <w:b/>
          <w:color w:val="666666"/>
          <w:sz w:val="20"/>
          <w:spacing w:val="3"/>
        </w:rPr>
        <w:t>INTEGRATIONS</w:t>
      </w:r>
    </w:p>
    <w:p>
      <w:pPr>
        <w:spacing w:after="80"/>
      </w:pPr>
      <w:r>
        <w:rPr>
          <w:rFonts w:ascii="Calibri" w:hAnsi="Calibri"/>
          <w:b/>
          <w:color w:val="000000"/>
          <w:sz w:val="60"/>
        </w:rPr>
        <w:t>CMDB Registration &amp; Reconciliation</w:t>
      </w:r>
    </w:p>
    <w:p>
      <w:pPr>
        <w:pBdr>
          <w:bottom w:val="single" w:sz="12" w:space="6" w:color="000000"/>
        </w:pBdr>
        <w:spacing w:after="280"/>
      </w:pPr>
      <w:r>
        <w:rPr>
          <w:rFonts w:ascii="Calibri" w:hAnsi="Calibri"/>
          <w:color w:val="666666"/>
          <w:sz w:val="26"/>
        </w:rPr>
        <w:t>Feature Reference</w:t>
      </w:r>
    </w:p>
    <w:p>
      <w:pPr>
        <w:spacing w:after="40"/>
      </w:pPr>
      <w:r>
        <w:rPr>
          <w:color w:val="666666"/>
          <w:sz w:val="19"/>
        </w:rPr>
        <w:t>Register what you scanned, and flag where reality and records disagree.</w:t>
      </w:r>
    </w:p>
    <w:p>
      <w:pPr>
        <w:spacing w:after="40"/>
      </w:pPr>
      <w:r>
        <w:rPr>
          <w:color w:val="666666"/>
          <w:sz w:val="19"/>
        </w:rPr>
        <w:t>Part of the RackTrack documentation set</w:t>
      </w:r>
    </w:p>
    <w:p>
      <w:pPr>
        <w:spacing w:after="40"/>
      </w:pPr>
      <w:r>
        <w:rPr>
          <w:color w:val="666666"/>
          <w:sz w:val="19"/>
        </w:rPr>
        <w:t>Document date: 09 July 2026</w:t>
      </w:r>
    </w:p>
    <w:p>
      <w:r>
        <w:br w:type="page"/>
      </w:r>
    </w:p>
    <w:p>
      <w:pPr>
        <w:spacing w:before="320" w:after="160"/>
        <w:pBdr>
          <w:bottom w:val="single" w:sz="8" w:space="6" w:color="D9D9D9"/>
        </w:pBdr>
      </w:pPr>
      <w:r>
        <w:rPr>
          <w:rFonts w:ascii="Calibri" w:hAnsi="Calibri"/>
          <w:b/>
          <w:color w:val="000000"/>
          <w:sz w:val="38"/>
        </w:rPr>
        <w:t>Contents</w:t>
      </w:r>
    </w:p>
    <w:p>
      <w:pPr>
        <w:spacing w:after="20"/>
      </w:pPr>
      <w:r>
        <w:rPr>
          <w:b/>
          <w:color w:val="666666"/>
          <w:sz w:val="20"/>
        </w:rPr>
        <w:t xml:space="preserve">1.  </w:t>
      </w:r>
      <w:r>
        <w:rPr>
          <w:color w:val="1A1A1A"/>
          <w:sz w:val="20"/>
        </w:rPr>
        <w:t>In simple terms</w:t>
      </w:r>
    </w:p>
    <w:p>
      <w:pPr>
        <w:spacing w:after="20"/>
      </w:pPr>
      <w:r>
        <w:rPr>
          <w:b/>
          <w:color w:val="666666"/>
          <w:sz w:val="20"/>
        </w:rPr>
        <w:t xml:space="preserve">2.  </w:t>
      </w:r>
      <w:r>
        <w:rPr>
          <w:color w:val="1A1A1A"/>
          <w:sz w:val="20"/>
        </w:rPr>
        <w:t>At a glance</w:t>
      </w:r>
    </w:p>
    <w:p>
      <w:pPr>
        <w:spacing w:after="20"/>
      </w:pPr>
      <w:r>
        <w:rPr>
          <w:b/>
          <w:color w:val="666666"/>
          <w:sz w:val="20"/>
        </w:rPr>
        <w:t xml:space="preserve">3.  </w:t>
      </w:r>
      <w:r>
        <w:rPr>
          <w:color w:val="1A1A1A"/>
          <w:sz w:val="20"/>
        </w:rPr>
        <w:t>How it works — step by step</w:t>
      </w:r>
    </w:p>
    <w:p>
      <w:pPr>
        <w:spacing w:after="20"/>
      </w:pPr>
      <w:r>
        <w:rPr>
          <w:b/>
          <w:color w:val="666666"/>
          <w:sz w:val="20"/>
        </w:rPr>
        <w:t xml:space="preserve">4.  </w:t>
      </w:r>
      <w:r>
        <w:rPr>
          <w:color w:val="1A1A1A"/>
          <w:sz w:val="20"/>
        </w:rPr>
        <w:t>Where the input comes from</w:t>
      </w:r>
    </w:p>
    <w:p>
      <w:pPr>
        <w:spacing w:after="20"/>
      </w:pPr>
      <w:r>
        <w:rPr>
          <w:b/>
          <w:color w:val="666666"/>
          <w:sz w:val="20"/>
        </w:rPr>
        <w:t xml:space="preserve">5.  </w:t>
      </w:r>
      <w:r>
        <w:rPr>
          <w:color w:val="1A1A1A"/>
          <w:sz w:val="20"/>
        </w:rPr>
        <w:t>What it produces (output)</w:t>
      </w:r>
    </w:p>
    <w:p>
      <w:pPr>
        <w:spacing w:after="20"/>
      </w:pPr>
      <w:r>
        <w:rPr>
          <w:b/>
          <w:color w:val="666666"/>
          <w:sz w:val="20"/>
        </w:rPr>
        <w:t xml:space="preserve">6.  </w:t>
      </w:r>
      <w:r>
        <w:rPr>
          <w:color w:val="1A1A1A"/>
          <w:sz w:val="20"/>
        </w:rPr>
        <w:t>What you see on screen</w:t>
      </w:r>
    </w:p>
    <w:p>
      <w:pPr>
        <w:spacing w:after="20"/>
      </w:pPr>
      <w:r>
        <w:rPr>
          <w:b/>
          <w:color w:val="666666"/>
          <w:sz w:val="20"/>
        </w:rPr>
        <w:t xml:space="preserve">7.  </w:t>
      </w:r>
      <w:r>
        <w:rPr>
          <w:color w:val="1A1A1A"/>
          <w:sz w:val="20"/>
        </w:rPr>
        <w:t>The logic behind it</w:t>
      </w:r>
    </w:p>
    <w:p>
      <w:pPr>
        <w:spacing w:after="20"/>
      </w:pPr>
      <w:r>
        <w:rPr>
          <w:b/>
          <w:color w:val="666666"/>
          <w:sz w:val="20"/>
        </w:rPr>
        <w:t xml:space="preserve">8.  </w:t>
      </w:r>
      <w:r>
        <w:rPr>
          <w:color w:val="1A1A1A"/>
          <w:sz w:val="20"/>
        </w:rPr>
        <w:t>Detailed technical explanation</w:t>
      </w:r>
    </w:p>
    <w:p>
      <w:pPr>
        <w:spacing w:after="20"/>
      </w:pPr>
      <w:r>
        <w:rPr>
          <w:b/>
          <w:color w:val="666666"/>
          <w:sz w:val="20"/>
        </w:rPr>
        <w:t xml:space="preserve">9.  </w:t>
      </w:r>
      <w:r>
        <w:rPr>
          <w:color w:val="1A1A1A"/>
          <w:sz w:val="20"/>
        </w:rPr>
        <w:t>Real data vs. synthetic</w:t>
      </w:r>
    </w:p>
    <w:p>
      <w:pPr>
        <w:spacing w:after="20"/>
      </w:pPr>
      <w:r>
        <w:rPr>
          <w:b/>
          <w:color w:val="666666"/>
          <w:sz w:val="20"/>
        </w:rPr>
        <w:t xml:space="preserve">10.  </w:t>
      </w:r>
      <w:r>
        <w:rPr>
          <w:color w:val="1A1A1A"/>
          <w:sz w:val="20"/>
        </w:rPr>
        <w:t>Use cases</w:t>
      </w:r>
    </w:p>
    <w:p>
      <w:pPr>
        <w:spacing w:after="40"/>
      </w:pPr>
    </w:p>
    <w:p>
      <w:pPr>
        <w:spacing w:before="320" w:after="160"/>
        <w:pBdr>
          <w:bottom w:val="single" w:sz="8" w:space="6" w:color="D9D9D9"/>
        </w:pBdr>
      </w:pPr>
      <w:r>
        <w:rPr>
          <w:rFonts w:ascii="Calibri" w:hAnsi="Calibri"/>
          <w:b/>
          <w:color w:val="000000"/>
          <w:sz w:val="38"/>
        </w:rPr>
        <w:t>1.  In simple terms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4F4F4"/>
            <w:tcMar>
              <w:top w:w="120" w:type="dxa"/>
              <w:bottom w:w="120" w:type="dxa"/>
              <w:start w:w="160" w:type="dxa"/>
              <w:end w:w="160" w:type="dxa"/>
            </w:tcMar>
          </w:tcPr>
          <w:p>
            <w:r>
              <w:rPr>
                <w:rFonts w:ascii="Calibri" w:hAnsi="Calibri"/>
                <w:b/>
                <w:color w:val="666666"/>
                <w:sz w:val="17"/>
              </w:rPr>
              <w:t xml:space="preserve">SUMMARY   </w:t>
            </w:r>
            <w:r>
              <w:rPr>
                <w:color w:val="1A1A1A"/>
                <w:sz w:val="21"/>
              </w:rPr>
              <w:t>Turns a scan into configuration-database records, and — when a scan is tied to a ticket — compares what is physically in the rack against what the records claim, raising the discrepancies as work notes or tickets.</w:t>
            </w:r>
          </w:p>
        </w:tc>
      </w:tr>
    </w:tbl>
    <w:p>
      <w:pPr>
        <w:spacing w:after="40"/>
      </w:pPr>
    </w:p>
    <w:p>
      <w:pPr>
        <w:spacing w:before="320" w:after="160"/>
        <w:pBdr>
          <w:bottom w:val="single" w:sz="8" w:space="6" w:color="D9D9D9"/>
        </w:pBdr>
      </w:pPr>
      <w:r>
        <w:rPr>
          <w:rFonts w:ascii="Calibri" w:hAnsi="Calibri"/>
          <w:b/>
          <w:color w:val="000000"/>
          <w:sz w:val="38"/>
        </w:rPr>
        <w:t>2.  At a glance</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80" w:type="dxa"/>
              <w:bottom w:w="80" w:type="dxa"/>
              <w:start w:w="120" w:type="dxa"/>
              <w:end w:w="120" w:type="dxa"/>
            </w:tcMar>
            <w:shd w:val="clear" w:color="auto" w:fill="FAFAFA"/>
          </w:tcPr>
          <w:p>
            <w:r>
              <w:rPr>
                <w:b/>
                <w:color w:val="1A1A1A"/>
                <w:sz w:val="19"/>
              </w:rPr>
              <w:t>Category</w:t>
            </w:r>
          </w:p>
        </w:tc>
        <w:tc>
          <w:tcPr>
            <w:tcW w:type="dxa" w:w="6912"/>
            <w:tcMar>
              <w:top w:w="80" w:type="dxa"/>
              <w:bottom w:w="80" w:type="dxa"/>
              <w:start w:w="120" w:type="dxa"/>
              <w:end w:w="120" w:type="dxa"/>
            </w:tcMar>
            <w:shd w:val="clear" w:color="auto" w:fill="FAFAFA"/>
          </w:tcPr>
          <w:p>
            <w:r>
              <w:rPr>
                <w:color w:val="1A1A1A"/>
                <w:sz w:val="19"/>
              </w:rPr>
              <w:t>Integration — CMDB/ServiceNow bridge.</w:t>
            </w:r>
          </w:p>
        </w:tc>
      </w:tr>
      <w:tr>
        <w:tc>
          <w:tcPr>
            <w:tcW w:type="dxa" w:w="2448"/>
            <w:tcMar>
              <w:top w:w="80" w:type="dxa"/>
              <w:bottom w:w="80" w:type="dxa"/>
              <w:start w:w="120" w:type="dxa"/>
              <w:end w:w="120" w:type="dxa"/>
            </w:tcMar>
          </w:tcPr>
          <w:p>
            <w:r>
              <w:rPr>
                <w:b/>
                <w:color w:val="1A1A1A"/>
                <w:sz w:val="19"/>
              </w:rPr>
              <w:t>Who uses it</w:t>
            </w:r>
          </w:p>
        </w:tc>
        <w:tc>
          <w:tcPr>
            <w:tcW w:type="dxa" w:w="6912"/>
            <w:tcMar>
              <w:top w:w="80" w:type="dxa"/>
              <w:bottom w:w="80" w:type="dxa"/>
              <w:start w:w="120" w:type="dxa"/>
              <w:end w:w="120" w:type="dxa"/>
            </w:tcMar>
          </w:tcPr>
          <w:p>
            <w:r>
              <w:rPr>
                <w:color w:val="1A1A1A"/>
                <w:sz w:val="19"/>
              </w:rPr>
              <w:t>Technicians registering racks; anyone working a drift ticket.</w:t>
            </w:r>
          </w:p>
        </w:tc>
      </w:tr>
      <w:tr>
        <w:tc>
          <w:tcPr>
            <w:tcW w:type="dxa" w:w="2448"/>
            <w:tcMar>
              <w:top w:w="80" w:type="dxa"/>
              <w:bottom w:w="80" w:type="dxa"/>
              <w:start w:w="120" w:type="dxa"/>
              <w:end w:w="120" w:type="dxa"/>
            </w:tcMar>
            <w:shd w:val="clear" w:color="auto" w:fill="FAFAFA"/>
          </w:tcPr>
          <w:p>
            <w:r>
              <w:rPr>
                <w:b/>
                <w:color w:val="1A1A1A"/>
                <w:sz w:val="19"/>
              </w:rPr>
              <w:t>Where input comes from</w:t>
            </w:r>
          </w:p>
        </w:tc>
        <w:tc>
          <w:tcPr>
            <w:tcW w:type="dxa" w:w="6912"/>
            <w:tcMar>
              <w:top w:w="80" w:type="dxa"/>
              <w:bottom w:w="80" w:type="dxa"/>
              <w:start w:w="120" w:type="dxa"/>
              <w:end w:w="120" w:type="dxa"/>
            </w:tcMar>
            <w:shd w:val="clear" w:color="auto" w:fill="FAFAFA"/>
          </w:tcPr>
          <w:p>
            <w:r>
              <w:rPr>
                <w:color w:val="1A1A1A"/>
                <w:sz w:val="19"/>
              </w:rPr>
              <w:t>A completed scan's inventory, plus existing CMDB records and an incident.</w:t>
            </w:r>
          </w:p>
        </w:tc>
      </w:tr>
      <w:tr>
        <w:tc>
          <w:tcPr>
            <w:tcW w:type="dxa" w:w="2448"/>
            <w:tcMar>
              <w:top w:w="80" w:type="dxa"/>
              <w:bottom w:w="80" w:type="dxa"/>
              <w:start w:w="120" w:type="dxa"/>
              <w:end w:w="120" w:type="dxa"/>
            </w:tcMar>
          </w:tcPr>
          <w:p>
            <w:r>
              <w:rPr>
                <w:b/>
                <w:color w:val="1A1A1A"/>
                <w:sz w:val="19"/>
              </w:rPr>
              <w:t>What it outputs</w:t>
            </w:r>
          </w:p>
        </w:tc>
        <w:tc>
          <w:tcPr>
            <w:tcW w:type="dxa" w:w="6912"/>
            <w:tcMar>
              <w:top w:w="80" w:type="dxa"/>
              <w:bottom w:w="80" w:type="dxa"/>
              <w:start w:w="120" w:type="dxa"/>
              <w:end w:w="120" w:type="dxa"/>
            </w:tcMar>
          </w:tcPr>
          <w:p>
            <w:r>
              <w:rPr>
                <w:color w:val="1A1A1A"/>
                <w:sz w:val="19"/>
              </w:rPr>
              <w:t>A registered rack; a drift alert and a work note / ticket describing mismatches.</w:t>
            </w:r>
          </w:p>
        </w:tc>
      </w:tr>
      <w:tr>
        <w:tc>
          <w:tcPr>
            <w:tcW w:type="dxa" w:w="2448"/>
            <w:tcMar>
              <w:top w:w="80" w:type="dxa"/>
              <w:bottom w:w="80" w:type="dxa"/>
              <w:start w:w="120" w:type="dxa"/>
              <w:end w:w="120" w:type="dxa"/>
            </w:tcMar>
            <w:shd w:val="clear" w:color="auto" w:fill="FAFAFA"/>
          </w:tcPr>
          <w:p>
            <w:r>
              <w:rPr>
                <w:b/>
                <w:color w:val="1A1A1A"/>
                <w:sz w:val="19"/>
              </w:rPr>
              <w:t>Data source</w:t>
            </w:r>
          </w:p>
        </w:tc>
        <w:tc>
          <w:tcPr>
            <w:tcW w:type="dxa" w:w="6912"/>
            <w:tcMar>
              <w:top w:w="80" w:type="dxa"/>
              <w:bottom w:w="80" w:type="dxa"/>
              <w:start w:w="120" w:type="dxa"/>
              <w:end w:w="120" w:type="dxa"/>
            </w:tcMar>
            <w:shd w:val="clear" w:color="auto" w:fill="FAFAFA"/>
          </w:tcPr>
          <w:p>
            <w:r>
              <w:rPr>
                <w:color w:val="1A1A1A"/>
                <w:sz w:val="19"/>
              </w:rPr>
              <w:t>MIXED — the device list is REAL; some registered fields are SYNTHETIC placeholder.</w:t>
            </w:r>
          </w:p>
        </w:tc>
      </w:tr>
    </w:tbl>
    <w:p>
      <w:pPr>
        <w:spacing w:after="40"/>
      </w:pPr>
    </w:p>
    <w:p>
      <w:pPr>
        <w:spacing w:before="320" w:after="160"/>
        <w:pBdr>
          <w:bottom w:val="single" w:sz="8" w:space="6" w:color="D9D9D9"/>
        </w:pBdr>
      </w:pPr>
      <w:r>
        <w:rPr>
          <w:rFonts w:ascii="Calibri" w:hAnsi="Calibri"/>
          <w:b/>
          <w:color w:val="000000"/>
          <w:sz w:val="38"/>
        </w:rPr>
        <w:t>3.  How it works — step by step</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Fresh scan, rack unknown</w:t>
            </w:r>
          </w:p>
          <w:p>
            <w:pPr>
              <w:jc w:val="center"/>
            </w:pPr>
            <w:r>
              <w:rPr>
                <w:color w:val="666666"/>
                <w:sz w:val="17"/>
              </w:rPr>
              <w:t>approval card appears</w:t>
            </w:r>
          </w:p>
        </w:tc>
      </w:tr>
    </w:tbl>
    <w:p>
      <w:pPr>
        <w:spacing w:before="20" w:after="20"/>
        <w:jc w:val="center"/>
      </w:pPr>
      <w:r>
        <w:rPr>
          <w:color w:val="000000"/>
          <w:sz w:val="26"/>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Raise &amp; approve</w:t>
            </w:r>
          </w:p>
          <w:p>
            <w:pPr>
              <w:jc w:val="center"/>
            </w:pPr>
            <w:r>
              <w:rPr>
                <w:color w:val="666666"/>
                <w:sz w:val="17"/>
              </w:rPr>
              <w:t>a request is created and approved</w:t>
            </w:r>
          </w:p>
        </w:tc>
      </w:tr>
    </w:tbl>
    <w:p>
      <w:pPr>
        <w:spacing w:before="20" w:after="20"/>
        <w:jc w:val="center"/>
      </w:pPr>
      <w:r>
        <w:rPr>
          <w:color w:val="000000"/>
          <w:sz w:val="26"/>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Push inventory</w:t>
            </w:r>
          </w:p>
          <w:p>
            <w:pPr>
              <w:jc w:val="center"/>
            </w:pPr>
            <w:r>
              <w:rPr>
                <w:color w:val="666666"/>
                <w:sz w:val="17"/>
              </w:rPr>
              <w:t>devices, ports, connections registered</w:t>
            </w:r>
          </w:p>
        </w:tc>
      </w:tr>
    </w:tbl>
    <w:p>
      <w:pPr>
        <w:spacing w:before="20" w:after="20"/>
        <w:jc w:val="center"/>
      </w:pPr>
      <w:r>
        <w:rPr>
          <w:color w:val="000000"/>
          <w:sz w:val="26"/>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Reconcile (ticket mode)</w:t>
            </w:r>
          </w:p>
          <w:p>
            <w:pPr>
              <w:jc w:val="center"/>
            </w:pPr>
            <w:r>
              <w:rPr>
                <w:color w:val="666666"/>
                <w:sz w:val="17"/>
              </w:rPr>
              <w:t>expected-at-U vs detected-at-U</w:t>
            </w:r>
          </w:p>
        </w:tc>
      </w:tr>
    </w:tbl>
    <w:p>
      <w:pPr>
        <w:spacing w:before="20" w:after="20"/>
        <w:jc w:val="center"/>
      </w:pPr>
      <w:r>
        <w:rPr>
          <w:color w:val="000000"/>
          <w:sz w:val="26"/>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Verdict + work note</w:t>
            </w:r>
          </w:p>
          <w:p>
            <w:pPr>
              <w:jc w:val="center"/>
            </w:pPr>
            <w:r>
              <w:rPr>
                <w:color w:val="666666"/>
                <w:sz w:val="17"/>
              </w:rPr>
              <w:t>confirmed / drift, posted to the incident</w:t>
            </w:r>
          </w:p>
        </w:tc>
      </w:tr>
    </w:tbl>
    <w:p>
      <w:pPr>
        <w:jc w:val="center"/>
      </w:pPr>
      <w:r>
        <w:rPr>
          <w:i/>
          <w:color w:val="666666"/>
          <w:sz w:val="17"/>
        </w:rPr>
        <w:t>Registration and the reconciliation that follows.</w:t>
      </w:r>
    </w:p>
    <w:p>
      <w:pPr>
        <w:spacing w:after="40"/>
      </w:pPr>
    </w:p>
    <w:p>
      <w:pPr>
        <w:spacing w:before="160" w:after="40"/>
      </w:pPr>
      <w:r>
        <w:rPr>
          <w:rFonts w:ascii="Calibri" w:hAnsi="Calibri"/>
          <w:b/>
          <w:color w:val="1A1A1A"/>
          <w:sz w:val="23"/>
        </w:rPr>
        <w:t>Walkthrough</w:t>
      </w:r>
    </w:p>
    <w:p>
      <w:pPr>
        <w:pStyle w:val="ListNumber"/>
        <w:spacing w:after="40"/>
      </w:pPr>
      <w:r>
        <w:t>After a fresh scan of an unregistered rack, an approval card appears.</w:t>
      </w:r>
    </w:p>
    <w:p>
      <w:pPr>
        <w:pStyle w:val="ListNumber"/>
        <w:spacing w:after="40"/>
      </w:pPr>
      <w:r>
        <w:t>Choose “Raise Ticket”; a reference number is shown.</w:t>
      </w:r>
    </w:p>
    <w:p>
      <w:pPr>
        <w:pStyle w:val="ListNumber"/>
        <w:spacing w:after="40"/>
      </w:pPr>
      <w:r>
        <w:t>Choose “Approve”; RackTrack synchronizes the inventory.</w:t>
      </w:r>
    </w:p>
    <w:p>
      <w:pPr>
        <w:pStyle w:val="ListNumber"/>
        <w:spacing w:after="40"/>
      </w:pPr>
      <w:r>
        <w:t>See the “Successfully registered” summary with counts and a device list.</w:t>
      </w:r>
    </w:p>
    <w:p>
      <w:pPr>
        <w:pStyle w:val="ListNumber"/>
        <w:spacing w:after="40"/>
      </w:pPr>
      <w:r>
        <w:t>In ticket mode, if the rack no longer matches records, a “Physical Drift Detected” alert appears.</w:t>
      </w:r>
    </w:p>
    <w:p>
      <w:pPr>
        <w:pStyle w:val="ListNumber"/>
        <w:spacing w:after="40"/>
      </w:pPr>
      <w:r>
        <w:t>Use “Raise ticket” to open an incident inline for the drift.</w:t>
      </w:r>
    </w:p>
    <w:p>
      <w:pPr>
        <w:spacing w:before="320" w:after="160"/>
        <w:pBdr>
          <w:bottom w:val="single" w:sz="8" w:space="6" w:color="D9D9D9"/>
        </w:pBdr>
      </w:pPr>
      <w:r>
        <w:rPr>
          <w:rFonts w:ascii="Calibri" w:hAnsi="Calibri"/>
          <w:b/>
          <w:color w:val="000000"/>
          <w:sz w:val="38"/>
        </w:rPr>
        <w:t>4.  Where the input comes from</w:t>
      </w:r>
    </w:p>
    <w:p>
      <w:pPr>
        <w:pStyle w:val="ListBullet"/>
        <w:spacing w:after="40"/>
      </w:pPr>
      <w:r>
        <w:rPr>
          <w:b/>
        </w:rPr>
        <w:t xml:space="preserve">Scan inventory — </w:t>
      </w:r>
      <w:r>
        <w:t>the detected devices, ports and connected state.</w:t>
      </w:r>
    </w:p>
    <w:p>
      <w:pPr>
        <w:pStyle w:val="ListBullet"/>
        <w:spacing w:after="40"/>
      </w:pPr>
      <w:r>
        <w:rPr>
          <w:b/>
        </w:rPr>
        <w:t xml:space="preserve">Existing CMDB records — </w:t>
      </w:r>
      <w:r>
        <w:t>what the database currently claims for the rack.</w:t>
      </w:r>
    </w:p>
    <w:p>
      <w:pPr>
        <w:pStyle w:val="ListBullet"/>
        <w:spacing w:after="40"/>
      </w:pPr>
      <w:r>
        <w:rPr>
          <w:b/>
        </w:rPr>
        <w:t xml:space="preserve">A service incident — </w:t>
      </w:r>
      <w:r>
        <w:t>the correlation point for reconciliation (ticket mode).</w:t>
      </w:r>
    </w:p>
    <w:p>
      <w:pPr>
        <w:spacing w:before="320" w:after="160"/>
        <w:pBdr>
          <w:bottom w:val="single" w:sz="8" w:space="6" w:color="D9D9D9"/>
        </w:pBdr>
      </w:pPr>
      <w:r>
        <w:rPr>
          <w:rFonts w:ascii="Calibri" w:hAnsi="Calibri"/>
          <w:b/>
          <w:color w:val="000000"/>
          <w:sz w:val="38"/>
        </w:rPr>
        <w:t>5.  What it produces (output)</w:t>
      </w:r>
    </w:p>
    <w:p>
      <w:pPr>
        <w:pStyle w:val="ListBullet"/>
        <w:spacing w:after="40"/>
      </w:pPr>
      <w:r>
        <w:rPr>
          <w:b/>
        </w:rPr>
        <w:t xml:space="preserve">A registered rack — </w:t>
      </w:r>
      <w:r>
        <w:t>devices, ports and connections written to the CMDB.</w:t>
      </w:r>
    </w:p>
    <w:p>
      <w:pPr>
        <w:pStyle w:val="ListBullet"/>
        <w:spacing w:after="40"/>
      </w:pPr>
      <w:r>
        <w:rPr>
          <w:b/>
        </w:rPr>
        <w:t xml:space="preserve">A registration summary — </w:t>
      </w:r>
      <w:r>
        <w:t>device/port/cable/unit counts and a device list.</w:t>
      </w:r>
    </w:p>
    <w:p>
      <w:pPr>
        <w:pStyle w:val="ListBullet"/>
        <w:spacing w:after="40"/>
      </w:pPr>
      <w:r>
        <w:rPr>
          <w:b/>
        </w:rPr>
        <w:t xml:space="preserve">A drift alert — </w:t>
      </w:r>
      <w:r>
        <w:t>“CMDB expects” vs “scan sees at U##.”</w:t>
      </w:r>
    </w:p>
    <w:p>
      <w:pPr>
        <w:pStyle w:val="ListBullet"/>
        <w:spacing w:after="40"/>
      </w:pPr>
      <w:r>
        <w:rPr>
          <w:b/>
        </w:rPr>
        <w:t xml:space="preserve">A work note / ticket — </w:t>
      </w:r>
      <w:r>
        <w:t>posted to the actual incident/CMDB backend.</w:t>
      </w:r>
    </w:p>
    <w:p>
      <w:pPr>
        <w:spacing w:before="320" w:after="160"/>
        <w:pBdr>
          <w:bottom w:val="single" w:sz="8" w:space="6" w:color="D9D9D9"/>
        </w:pBdr>
      </w:pPr>
      <w:r>
        <w:rPr>
          <w:rFonts w:ascii="Calibri" w:hAnsi="Calibri"/>
          <w:b/>
          <w:color w:val="000000"/>
          <w:sz w:val="38"/>
        </w:rPr>
        <w:t>6.  What you see on screen</w:t>
      </w:r>
    </w:p>
    <w:p>
      <w:pPr>
        <w:pStyle w:val="ListBullet"/>
        <w:spacing w:after="40"/>
      </w:pPr>
      <w:r>
        <w:rPr>
          <w:b/>
        </w:rPr>
        <w:t xml:space="preserve">Approval steps — </w:t>
      </w:r>
      <w:r>
        <w:t>missing → submitted → synchronizing → registered, with references.</w:t>
      </w:r>
    </w:p>
    <w:p>
      <w:pPr>
        <w:pStyle w:val="ListBullet"/>
        <w:spacing w:after="40"/>
      </w:pPr>
      <w:r>
        <w:rPr>
          <w:b/>
        </w:rPr>
        <w:t xml:space="preserve">Registration summary — </w:t>
      </w:r>
      <w:r>
        <w:t>counts plus a list of registered devices and a sample of connections.</w:t>
      </w:r>
    </w:p>
    <w:p>
      <w:pPr>
        <w:pStyle w:val="ListBullet"/>
        <w:spacing w:after="40"/>
      </w:pPr>
      <w:r>
        <w:rPr>
          <w:b/>
        </w:rPr>
        <w:t xml:space="preserve">Drift alert — </w:t>
      </w:r>
      <w:r>
        <w:t>side-by-side “CMDB expects” vs “scan sees at U##.”</w:t>
      </w:r>
    </w:p>
    <w:p>
      <w:pPr>
        <w:pStyle w:val="ListBullet"/>
        <w:spacing w:after="40"/>
      </w:pPr>
      <w:r>
        <w:rPr>
          <w:b/>
        </w:rPr>
        <w:t xml:space="preserve">Raise-ticket action — </w:t>
      </w:r>
      <w:r>
        <w:t>opens an incident inline (Raising… / Ticket raised).</w:t>
      </w:r>
    </w:p>
    <w:p>
      <w:pPr>
        <w:spacing w:before="320" w:after="160"/>
        <w:pBdr>
          <w:bottom w:val="single" w:sz="8" w:space="6" w:color="D9D9D9"/>
        </w:pBdr>
      </w:pPr>
      <w:r>
        <w:rPr>
          <w:rFonts w:ascii="Calibri" w:hAnsi="Calibri"/>
          <w:b/>
          <w:color w:val="000000"/>
          <w:sz w:val="38"/>
        </w:rPr>
        <w:t>7.  The logic behind it</w:t>
      </w:r>
    </w:p>
    <w:p>
      <w:pPr>
        <w:pStyle w:val="ListBullet"/>
        <w:spacing w:after="40"/>
      </w:pPr>
      <w:r>
        <w:rPr>
          <w:b/>
        </w:rPr>
        <w:t xml:space="preserve">Four verdicts — </w:t>
      </w:r>
      <w:r>
        <w:t>confirmed (right class, high confidence), low-confidence (right class but uncertain — rescan), mismatch (nothing or a different class — physical drift), or unknown (no recorded position).</w:t>
      </w:r>
    </w:p>
    <w:p>
      <w:pPr>
        <w:pStyle w:val="ListBullet"/>
        <w:spacing w:after="40"/>
      </w:pPr>
      <w:r>
        <w:rPr>
          <w:b/>
        </w:rPr>
        <w:t xml:space="preserve">Down-port drift — </w:t>
      </w:r>
      <w:r>
        <w:t>a cabled-but-dead port surfaces because the scan marks it empty.</w:t>
      </w:r>
    </w:p>
    <w:p>
      <w:pPr>
        <w:pStyle w:val="ListBullet"/>
        <w:spacing w:after="40"/>
      </w:pPr>
      <w:r>
        <w:rPr>
          <w:b/>
        </w:rPr>
        <w:t xml:space="preserve">Stable hash — </w:t>
      </w:r>
      <w:r>
        <w:t>a diff engine compares scan vs records and produces a content hash, so an unchanged pair never raises duplicate tickets; a changed hash appends a note instead.</w:t>
      </w:r>
    </w:p>
    <w:p>
      <w:pPr>
        <w:spacing w:before="320" w:after="160"/>
        <w:pBdr>
          <w:bottom w:val="single" w:sz="8" w:space="6" w:color="D9D9D9"/>
        </w:pBdr>
      </w:pPr>
      <w:r>
        <w:rPr>
          <w:rFonts w:ascii="Calibri" w:hAnsi="Calibri"/>
          <w:b/>
          <w:color w:val="000000"/>
          <w:sz w:val="38"/>
        </w:rPr>
        <w:t>8.  Detailed technical explanation</w:t>
      </w:r>
    </w:p>
    <w:p>
      <w:pPr>
        <w:spacing w:before="160" w:after="40"/>
      </w:pPr>
      <w:r>
        <w:rPr>
          <w:rFonts w:ascii="Calibri" w:hAnsi="Calibri"/>
          <w:b/>
          <w:color w:val="1A1A1A"/>
          <w:sz w:val="23"/>
        </w:rPr>
        <w:t>Reconciliation</w:t>
      </w:r>
    </w:p>
    <w:p>
      <w:pPr>
        <w:pStyle w:val="ListBullet"/>
        <w:spacing w:after="40"/>
      </w:pPr>
      <w:r>
        <w:rPr>
          <w:b/>
        </w:rPr>
        <w:t xml:space="preserve">Correlate — </w:t>
      </w:r>
      <w:r>
        <w:t>start from an incident, read its primary item, walk the CMDB containment graph up to the rack, and use the rack's stored scan identifier to pull the most recent scan.</w:t>
      </w:r>
    </w:p>
    <w:p>
      <w:pPr>
        <w:pStyle w:val="ListBullet"/>
        <w:spacing w:after="40"/>
      </w:pPr>
      <w:r>
        <w:rPr>
          <w:b/>
        </w:rPr>
        <w:t xml:space="preserve">Audit — </w:t>
      </w:r>
      <w:r>
        <w:t>map each item to the visual class it should register as, read its expected unit position, and compare against what the scan detected there.</w:t>
      </w:r>
    </w:p>
    <w:p>
      <w:pPr>
        <w:pStyle w:val="ListBullet"/>
        <w:spacing w:after="40"/>
      </w:pPr>
      <w:r>
        <w:rPr>
          <w:b/>
        </w:rPr>
        <w:t xml:space="preserve">Work note — </w:t>
      </w:r>
      <w:r>
        <w:t>compose a human-readable note (header, expectation line, provenance, per-item audit, agreement count, recommended action) and append it to the incident, never overwriting.</w:t>
      </w:r>
    </w:p>
    <w:p>
      <w:pPr>
        <w:spacing w:before="160" w:after="40"/>
      </w:pPr>
      <w:r>
        <w:rPr>
          <w:rFonts w:ascii="Calibri" w:hAnsi="Calibri"/>
          <w:b/>
          <w:color w:val="1A1A1A"/>
          <w:sz w:val="23"/>
        </w:rPr>
        <w:t>Apply</w:t>
      </w:r>
    </w:p>
    <w:p>
      <w:pPr>
        <w:pStyle w:val="ListBullet"/>
        <w:spacing w:after="40"/>
      </w:pPr>
      <w:r>
        <w:rPr>
          <w:b/>
        </w:rPr>
        <w:t xml:space="preserve">Upsert — </w:t>
      </w:r>
      <w:r>
        <w:t>on approval, a generic apply upserts the rack, devices, ports and their containment and connection relationships, tagging each record's provenance and synthetic flag.</w:t>
      </w:r>
    </w:p>
    <w:p>
      <w:pPr>
        <w:spacing w:before="320" w:after="160"/>
        <w:pBdr>
          <w:bottom w:val="single" w:sz="8" w:space="6" w:color="D9D9D9"/>
        </w:pBdr>
      </w:pPr>
      <w:r>
        <w:rPr>
          <w:rFonts w:ascii="Calibri" w:hAnsi="Calibri"/>
          <w:b/>
          <w:color w:val="000000"/>
          <w:sz w:val="38"/>
        </w:rPr>
        <w:t>9.  Real data vs. synthetic</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80" w:type="dxa"/>
              <w:bottom w:w="80" w:type="dxa"/>
              <w:start w:w="120" w:type="dxa"/>
              <w:end w:w="120" w:type="dxa"/>
            </w:tcMar>
            <w:shd w:val="clear" w:color="auto" w:fill="FAFAFA"/>
          </w:tcPr>
          <w:p>
            <w:r>
              <w:rPr>
                <w:b/>
                <w:color w:val="1A1A1A"/>
                <w:sz w:val="19"/>
              </w:rPr>
              <w:t>Registered device list &amp; counts</w:t>
            </w:r>
          </w:p>
        </w:tc>
        <w:tc>
          <w:tcPr>
            <w:tcW w:type="dxa" w:w="6912"/>
            <w:tcMar>
              <w:top w:w="80" w:type="dxa"/>
              <w:bottom w:w="80" w:type="dxa"/>
              <w:start w:w="120" w:type="dxa"/>
              <w:end w:w="120" w:type="dxa"/>
            </w:tcMar>
            <w:shd w:val="clear" w:color="auto" w:fill="FAFAFA"/>
          </w:tcPr>
          <w:p>
            <w:r>
              <w:rPr>
                <w:color w:val="1A1A1A"/>
                <w:sz w:val="19"/>
              </w:rPr>
              <w:t>REAL — from the scan's detected inventory.</w:t>
            </w:r>
          </w:p>
        </w:tc>
      </w:tr>
      <w:tr>
        <w:tc>
          <w:tcPr>
            <w:tcW w:type="dxa" w:w="2448"/>
            <w:tcMar>
              <w:top w:w="80" w:type="dxa"/>
              <w:bottom w:w="80" w:type="dxa"/>
              <w:start w:w="120" w:type="dxa"/>
              <w:end w:w="120" w:type="dxa"/>
            </w:tcMar>
          </w:tcPr>
          <w:p>
            <w:r>
              <w:rPr>
                <w:b/>
                <w:color w:val="1A1A1A"/>
                <w:sz w:val="19"/>
              </w:rPr>
              <w:t>Some connection/asset fields</w:t>
            </w:r>
          </w:p>
        </w:tc>
        <w:tc>
          <w:tcPr>
            <w:tcW w:type="dxa" w:w="6912"/>
            <w:tcMar>
              <w:top w:w="80" w:type="dxa"/>
              <w:bottom w:w="80" w:type="dxa"/>
              <w:start w:w="120" w:type="dxa"/>
              <w:end w:w="120" w:type="dxa"/>
            </w:tcMar>
          </w:tcPr>
          <w:p>
            <w:r>
              <w:rPr>
                <w:color w:val="1A1A1A"/>
                <w:sz w:val="19"/>
              </w:rPr>
              <w:t>SYNTHETIC — placeholder values mixed into the push.</w:t>
            </w:r>
          </w:p>
        </w:tc>
      </w:tr>
      <w:tr>
        <w:tc>
          <w:tcPr>
            <w:tcW w:type="dxa" w:w="2448"/>
            <w:tcMar>
              <w:top w:w="80" w:type="dxa"/>
              <w:bottom w:w="80" w:type="dxa"/>
              <w:start w:w="120" w:type="dxa"/>
              <w:end w:w="120" w:type="dxa"/>
            </w:tcMar>
            <w:shd w:val="clear" w:color="auto" w:fill="FAFAFA"/>
          </w:tcPr>
          <w:p>
            <w:r>
              <w:rPr>
                <w:b/>
                <w:color w:val="1A1A1A"/>
                <w:sz w:val="19"/>
              </w:rPr>
              <w:t>Reconciliation verdicts</w:t>
            </w:r>
          </w:p>
        </w:tc>
        <w:tc>
          <w:tcPr>
            <w:tcW w:type="dxa" w:w="6912"/>
            <w:tcMar>
              <w:top w:w="80" w:type="dxa"/>
              <w:bottom w:w="80" w:type="dxa"/>
              <w:start w:w="120" w:type="dxa"/>
              <w:end w:w="120" w:type="dxa"/>
            </w:tcMar>
            <w:shd w:val="clear" w:color="auto" w:fill="FAFAFA"/>
          </w:tcPr>
          <w:p>
            <w:r>
              <w:rPr>
                <w:color w:val="1A1A1A"/>
                <w:sz w:val="19"/>
              </w:rPr>
              <w:t>REAL — computed from expected-class-at-U vs detected-class-at-U.</w:t>
            </w:r>
          </w:p>
        </w:tc>
      </w:tr>
      <w:tr>
        <w:tc>
          <w:tcPr>
            <w:tcW w:type="dxa" w:w="2448"/>
            <w:tcMar>
              <w:top w:w="80" w:type="dxa"/>
              <w:bottom w:w="80" w:type="dxa"/>
              <w:start w:w="120" w:type="dxa"/>
              <w:end w:w="120" w:type="dxa"/>
            </w:tcMar>
          </w:tcPr>
          <w:p>
            <w:r>
              <w:rPr>
                <w:b/>
                <w:color w:val="1A1A1A"/>
                <w:sz w:val="19"/>
              </w:rPr>
              <w:t>Work note / ticket</w:t>
            </w:r>
          </w:p>
        </w:tc>
        <w:tc>
          <w:tcPr>
            <w:tcW w:type="dxa" w:w="6912"/>
            <w:tcMar>
              <w:top w:w="80" w:type="dxa"/>
              <w:bottom w:w="80" w:type="dxa"/>
              <w:start w:w="120" w:type="dxa"/>
              <w:end w:w="120" w:type="dxa"/>
            </w:tcMar>
          </w:tcPr>
          <w:p>
            <w:r>
              <w:rPr>
                <w:color w:val="1A1A1A"/>
                <w:sz w:val="19"/>
              </w:rPr>
              <w:t>REAL — posted to the actual incident/CMDB backend.</w:t>
            </w:r>
          </w:p>
        </w:tc>
      </w:tr>
    </w:tbl>
    <w:p>
      <w:pPr>
        <w:spacing w:after="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CECEC"/>
            <w:tcMar>
              <w:top w:w="120" w:type="dxa"/>
              <w:bottom w:w="120" w:type="dxa"/>
              <w:start w:w="160" w:type="dxa"/>
              <w:end w:w="160" w:type="dxa"/>
            </w:tcMar>
          </w:tcPr>
          <w:p>
            <w:r>
              <w:rPr>
                <w:rFonts w:ascii="Calibri" w:hAnsi="Calibri"/>
                <w:b/>
                <w:color w:val="666666"/>
                <w:sz w:val="17"/>
              </w:rPr>
              <w:t xml:space="preserve">IMPORTANT   </w:t>
            </w:r>
            <w:r>
              <w:rPr>
                <w:color w:val="1A1A1A"/>
                <w:sz w:val="21"/>
              </w:rPr>
              <w:t>The registration step pushes the scan's real device list but blends in placeholder values for fields the photo cannot reveal (serials, addresses, cable attributes), so the sampled cabling and asset details shown on success are illustrative, not verified records.</w:t>
            </w:r>
          </w:p>
        </w:tc>
      </w:tr>
    </w:tbl>
    <w:p>
      <w:pPr>
        <w:spacing w:after="40"/>
      </w:pPr>
    </w:p>
    <w:p>
      <w:pPr>
        <w:spacing w:before="320" w:after="160"/>
        <w:pBdr>
          <w:bottom w:val="single" w:sz="8" w:space="6" w:color="D9D9D9"/>
        </w:pBdr>
      </w:pPr>
      <w:r>
        <w:rPr>
          <w:rFonts w:ascii="Calibri" w:hAnsi="Calibri"/>
          <w:b/>
          <w:color w:val="000000"/>
          <w:sz w:val="38"/>
        </w:rPr>
        <w:t>10.  Use cases</w:t>
      </w:r>
    </w:p>
    <w:p>
      <w:pPr>
        <w:spacing w:before="160" w:after="40"/>
      </w:pPr>
      <w:r>
        <w:rPr>
          <w:rFonts w:ascii="Calibri" w:hAnsi="Calibri"/>
          <w:b/>
          <w:color w:val="1A1A1A"/>
          <w:sz w:val="23"/>
        </w:rPr>
        <w:t>Onboarding a rack</w:t>
      </w:r>
    </w:p>
    <w:p>
      <w:r>
        <w:t>A single scan registers the whole rack's inventory into the CMDB via a guided approval.</w:t>
      </w:r>
    </w:p>
    <w:p>
      <w:pPr>
        <w:spacing w:before="160" w:after="40"/>
      </w:pPr>
      <w:r>
        <w:rPr>
          <w:rFonts w:ascii="Calibri" w:hAnsi="Calibri"/>
          <w:b/>
          <w:color w:val="1A1A1A"/>
          <w:sz w:val="23"/>
        </w:rPr>
        <w:t>Proving physical drift</w:t>
      </w:r>
    </w:p>
    <w:p>
      <w:r>
        <w:t>A ticket-linked scan shows a switch is at the wrong unit — or missing — and raises it with evidence.</w:t>
      </w:r>
    </w:p>
    <w:p>
      <w:pPr>
        <w:spacing w:after="160"/>
      </w:pPr>
    </w:p>
    <w:p>
      <w:pPr>
        <w:jc w:val="center"/>
      </w:pPr>
      <w:r>
        <w:rPr>
          <w:color w:val="666666"/>
          <w:sz w:val="18"/>
        </w:rPr>
        <w:t>— CMDB Registration &amp; Reconciliation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