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left"/>
      </w:pPr>
      <w:r>
        <w:rPr>
          <w:rFonts w:ascii="Calibri" w:hAnsi="Calibri"/>
          <w:b/>
          <w:color w:val="666666"/>
          <w:sz w:val="20"/>
          <w:spacing w:val="3"/>
        </w:rPr>
        <w:t>INTEGRATIONS</w:t>
      </w:r>
    </w:p>
    <w:p>
      <w:pPr>
        <w:spacing w:after="80"/>
      </w:pPr>
      <w:r>
        <w:rPr>
          <w:rFonts w:ascii="Calibri" w:hAnsi="Calibri"/>
          <w:b/>
          <w:color w:val="000000"/>
          <w:sz w:val="60"/>
        </w:rPr>
        <w:t>Connections &amp; Integrations</w:t>
      </w:r>
    </w:p>
    <w:p>
      <w:pPr>
        <w:pBdr>
          <w:bottom w:val="single" w:sz="12" w:space="6" w:color="000000"/>
        </w:pBdr>
        <w:spacing w:after="280"/>
      </w:pPr>
      <w:r>
        <w:rPr>
          <w:rFonts w:ascii="Calibri" w:hAnsi="Calibri"/>
          <w:color w:val="666666"/>
          <w:sz w:val="26"/>
        </w:rPr>
        <w:t>Feature Reference</w:t>
      </w:r>
    </w:p>
    <w:p>
      <w:pPr>
        <w:spacing w:after="40"/>
      </w:pPr>
      <w:r>
        <w:rPr>
          <w:color w:val="666666"/>
          <w:sz w:val="19"/>
        </w:rPr>
        <w:t>Connect RackTrack to your CMDB/ITSM sources — securely.</w:t>
      </w:r>
    </w:p>
    <w:p>
      <w:pPr>
        <w:spacing w:after="40"/>
      </w:pPr>
      <w:r>
        <w:rPr>
          <w:color w:val="666666"/>
          <w:sz w:val="19"/>
        </w:rPr>
        <w:t>Part of the RackTrack documentation set</w:t>
      </w:r>
    </w:p>
    <w:p>
      <w:pPr>
        <w:spacing w:after="40"/>
      </w:pPr>
      <w:r>
        <w:rPr>
          <w:color w:val="666666"/>
          <w:sz w:val="19"/>
        </w:rPr>
        <w:t>Document date: 09 July 2026</w:t>
      </w:r>
    </w:p>
    <w:p>
      <w:r>
        <w:br w:type="page"/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Contents</w:t>
      </w:r>
    </w:p>
    <w:p>
      <w:pPr>
        <w:spacing w:after="20"/>
      </w:pPr>
      <w:r>
        <w:rPr>
          <w:b/>
          <w:color w:val="666666"/>
          <w:sz w:val="20"/>
        </w:rPr>
        <w:t xml:space="preserve">1.  </w:t>
      </w:r>
      <w:r>
        <w:rPr>
          <w:color w:val="1A1A1A"/>
          <w:sz w:val="20"/>
        </w:rPr>
        <w:t>In simple terms</w:t>
      </w:r>
    </w:p>
    <w:p>
      <w:pPr>
        <w:spacing w:after="20"/>
      </w:pPr>
      <w:r>
        <w:rPr>
          <w:b/>
          <w:color w:val="666666"/>
          <w:sz w:val="20"/>
        </w:rPr>
        <w:t xml:space="preserve">2.  </w:t>
      </w:r>
      <w:r>
        <w:rPr>
          <w:color w:val="1A1A1A"/>
          <w:sz w:val="20"/>
        </w:rPr>
        <w:t>At a glance</w:t>
      </w:r>
    </w:p>
    <w:p>
      <w:pPr>
        <w:spacing w:after="20"/>
      </w:pPr>
      <w:r>
        <w:rPr>
          <w:b/>
          <w:color w:val="666666"/>
          <w:sz w:val="20"/>
        </w:rPr>
        <w:t xml:space="preserve">3.  </w:t>
      </w:r>
      <w:r>
        <w:rPr>
          <w:color w:val="1A1A1A"/>
          <w:sz w:val="20"/>
        </w:rPr>
        <w:t>How it works — step by step</w:t>
      </w:r>
    </w:p>
    <w:p>
      <w:pPr>
        <w:spacing w:after="20"/>
      </w:pPr>
      <w:r>
        <w:rPr>
          <w:b/>
          <w:color w:val="666666"/>
          <w:sz w:val="20"/>
        </w:rPr>
        <w:t xml:space="preserve">4.  </w:t>
      </w:r>
      <w:r>
        <w:rPr>
          <w:color w:val="1A1A1A"/>
          <w:sz w:val="20"/>
        </w:rPr>
        <w:t>Where the input comes from</w:t>
      </w:r>
    </w:p>
    <w:p>
      <w:pPr>
        <w:spacing w:after="20"/>
      </w:pPr>
      <w:r>
        <w:rPr>
          <w:b/>
          <w:color w:val="666666"/>
          <w:sz w:val="20"/>
        </w:rPr>
        <w:t xml:space="preserve">5.  </w:t>
      </w:r>
      <w:r>
        <w:rPr>
          <w:color w:val="1A1A1A"/>
          <w:sz w:val="20"/>
        </w:rPr>
        <w:t>What it produces (output)</w:t>
      </w:r>
    </w:p>
    <w:p>
      <w:pPr>
        <w:spacing w:after="20"/>
      </w:pPr>
      <w:r>
        <w:rPr>
          <w:b/>
          <w:color w:val="666666"/>
          <w:sz w:val="20"/>
        </w:rPr>
        <w:t xml:space="preserve">6.  </w:t>
      </w:r>
      <w:r>
        <w:rPr>
          <w:color w:val="1A1A1A"/>
          <w:sz w:val="20"/>
        </w:rPr>
        <w:t>What you see on screen</w:t>
      </w:r>
    </w:p>
    <w:p>
      <w:pPr>
        <w:spacing w:after="20"/>
      </w:pPr>
      <w:r>
        <w:rPr>
          <w:b/>
          <w:color w:val="666666"/>
          <w:sz w:val="20"/>
        </w:rPr>
        <w:t xml:space="preserve">7.  </w:t>
      </w:r>
      <w:r>
        <w:rPr>
          <w:color w:val="1A1A1A"/>
          <w:sz w:val="20"/>
        </w:rPr>
        <w:t>The logic behind it</w:t>
      </w:r>
    </w:p>
    <w:p>
      <w:pPr>
        <w:spacing w:after="20"/>
      </w:pPr>
      <w:r>
        <w:rPr>
          <w:b/>
          <w:color w:val="666666"/>
          <w:sz w:val="20"/>
        </w:rPr>
        <w:t xml:space="preserve">8.  </w:t>
      </w:r>
      <w:r>
        <w:rPr>
          <w:color w:val="1A1A1A"/>
          <w:sz w:val="20"/>
        </w:rPr>
        <w:t>Detailed technical explanation</w:t>
      </w:r>
    </w:p>
    <w:p>
      <w:pPr>
        <w:spacing w:after="20"/>
      </w:pPr>
      <w:r>
        <w:rPr>
          <w:b/>
          <w:color w:val="666666"/>
          <w:sz w:val="20"/>
        </w:rPr>
        <w:t xml:space="preserve">9.  </w:t>
      </w:r>
      <w:r>
        <w:rPr>
          <w:color w:val="1A1A1A"/>
          <w:sz w:val="20"/>
        </w:rPr>
        <w:t>Real data vs. synthetic</w:t>
      </w:r>
    </w:p>
    <w:p>
      <w:pPr>
        <w:spacing w:after="20"/>
      </w:pPr>
      <w:r>
        <w:rPr>
          <w:b/>
          <w:color w:val="666666"/>
          <w:sz w:val="20"/>
        </w:rPr>
        <w:t xml:space="preserve">10.  </w:t>
      </w:r>
      <w:r>
        <w:rPr>
          <w:color w:val="1A1A1A"/>
          <w:sz w:val="20"/>
        </w:rPr>
        <w:t>Use cases</w:t>
      </w:r>
    </w:p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1.  In simple terms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val="clear" w:color="auto" w:fill="F4F4F4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rFonts w:ascii="Calibri" w:hAnsi="Calibri"/>
                <w:b/>
                <w:color w:val="666666"/>
                <w:sz w:val="17"/>
              </w:rPr>
              <w:t xml:space="preserve">SUMMARY   </w:t>
            </w:r>
            <w:r>
              <w:rPr>
                <w:color w:val="1A1A1A"/>
                <w:sz w:val="21"/>
              </w:rPr>
              <w:t>Manage the external systems RackTrack pulls from — ServiceNow, NetBox, Orion and the like. One connection is active at a time and drives what the screens show; saved credentials are never shown back to you.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2.  At a glance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Category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Integration — external data sources.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Who uses it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Owners and organization admins.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Where input comes from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You add connections with a name, type, and type-specific credentials.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What it outputs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A set of saved connections with one active, plus refresh results.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Data source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— your actual connection profiles and live refresh outcomes.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3.  How it works — step by step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Add a connection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name, type, credentials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Store securely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secrets encrypted, never re-shown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Make one active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drives every screen's data</w:t>
            </w:r>
          </w:p>
        </w:tc>
      </w:tr>
    </w:tbl>
    <w:p>
      <w:pPr>
        <w:spacing w:before="20" w:after="20"/>
        <w:jc w:val="center"/>
      </w:pPr>
      <w:r>
        <w:rPr>
          <w:color w:val="000000"/>
          <w:sz w:val="26"/>
        </w:rP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6624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FFFFFF"/>
            <w:tcMar>
              <w:top w:w="90" w:type="dxa"/>
              <w:bottom w:w="90" w:type="dxa"/>
              <w:start w:w="140" w:type="dxa"/>
              <w:end w:w="14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Refresh</w:t>
            </w:r>
          </w:p>
          <w:p>
            <w:pPr>
              <w:jc w:val="center"/>
            </w:pPr>
            <w:r>
              <w:rPr>
                <w:color w:val="666666"/>
                <w:sz w:val="17"/>
              </w:rPr>
              <w:t>pull fresh records from the source</w:t>
            </w:r>
          </w:p>
        </w:tc>
      </w:tr>
    </w:tbl>
    <w:p>
      <w:pPr>
        <w:jc w:val="center"/>
      </w:pPr>
      <w:r>
        <w:rPr>
          <w:i/>
          <w:color w:val="666666"/>
          <w:sz w:val="17"/>
        </w:rPr>
        <w:t>Adding a source and making it drive the app.</w:t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Walkthrough</w:t>
      </w:r>
    </w:p>
    <w:p>
      <w:pPr>
        <w:pStyle w:val="ListNumber"/>
        <w:spacing w:after="40"/>
      </w:pPr>
      <w:r>
        <w:t>Press “Add connection” and enter a name, a type, and the type's credential fields.</w:t>
      </w:r>
    </w:p>
    <w:p>
      <w:pPr>
        <w:pStyle w:val="ListNumber"/>
        <w:spacing w:after="40"/>
      </w:pPr>
      <w:r>
        <w:t>Save; the secret is encrypted and never shown again.</w:t>
      </w:r>
    </w:p>
    <w:p>
      <w:pPr>
        <w:pStyle w:val="ListNumber"/>
        <w:spacing w:after="40"/>
      </w:pPr>
      <w:r>
        <w:t>Press “Use” on a connection to make it active.</w:t>
      </w:r>
    </w:p>
    <w:p>
      <w:pPr>
        <w:pStyle w:val="ListNumber"/>
        <w:spacing w:after="40"/>
      </w:pPr>
      <w:r>
        <w:t>For an active ServiceNow source, press “Refresh data” to pull fresh incidents.</w:t>
      </w:r>
    </w:p>
    <w:p>
      <w:pPr>
        <w:pStyle w:val="ListNumber"/>
        <w:spacing w:after="40"/>
      </w:pPr>
      <w:r>
        <w:t>Edit (re-enter a secret to replace it) or Delete with confirmation as needed.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4.  Where the input comes from</w:t>
      </w:r>
    </w:p>
    <w:p>
      <w:pPr>
        <w:pStyle w:val="ListBullet"/>
        <w:spacing w:after="40"/>
      </w:pPr>
      <w:r>
        <w:rPr>
          <w:b/>
        </w:rPr>
        <w:t xml:space="preserve">Connection name — </w:t>
      </w:r>
      <w:r>
        <w:t>free text, required.</w:t>
      </w:r>
    </w:p>
    <w:p>
      <w:pPr>
        <w:pStyle w:val="ListBullet"/>
        <w:spacing w:after="40"/>
      </w:pPr>
      <w:r>
        <w:rPr>
          <w:b/>
        </w:rPr>
        <w:t xml:space="preserve">Connection type — </w:t>
      </w:r>
      <w:r>
        <w:t>chosen from supported types; locked once created.</w:t>
      </w:r>
    </w:p>
    <w:p>
      <w:pPr>
        <w:pStyle w:val="ListBullet"/>
        <w:spacing w:after="40"/>
      </w:pPr>
      <w:r>
        <w:rPr>
          <w:b/>
        </w:rPr>
        <w:t xml:space="preserve">Credentials — </w:t>
      </w:r>
      <w:r>
        <w:t>type-specific fields; blank on edit unless you replace them.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5.  What it produces (output)</w:t>
      </w:r>
    </w:p>
    <w:p>
      <w:pPr>
        <w:pStyle w:val="ListBullet"/>
        <w:spacing w:after="40"/>
      </w:pPr>
      <w:r>
        <w:rPr>
          <w:b/>
        </w:rPr>
        <w:t xml:space="preserve">Saved connections — </w:t>
      </w:r>
      <w:r>
        <w:t>one active, others available to switch to.</w:t>
      </w:r>
    </w:p>
    <w:p>
      <w:pPr>
        <w:pStyle w:val="ListBullet"/>
        <w:spacing w:after="40"/>
      </w:pPr>
      <w:r>
        <w:rPr>
          <w:b/>
        </w:rPr>
        <w:t xml:space="preserve">Refresh outcome — </w:t>
      </w:r>
      <w:r>
        <w:t>“Pulled N incidents” or a failure reason.</w:t>
      </w:r>
    </w:p>
    <w:p>
      <w:pPr>
        <w:pStyle w:val="ListBullet"/>
        <w:spacing w:after="40"/>
      </w:pPr>
      <w:r>
        <w:rPr>
          <w:b/>
        </w:rPr>
        <w:t xml:space="preserve">Active-source effect — </w:t>
      </w:r>
      <w:r>
        <w:t>the active connection drives data across the app.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6.  What you see on screen</w:t>
      </w:r>
    </w:p>
    <w:p>
      <w:pPr>
        <w:pStyle w:val="ListBullet"/>
        <w:spacing w:after="40"/>
      </w:pPr>
      <w:r>
        <w:rPr>
          <w:b/>
        </w:rPr>
        <w:t xml:space="preserve">Active card — </w:t>
      </w:r>
      <w:r>
        <w:t>status dot, name, type, and an actions menu.</w:t>
      </w:r>
    </w:p>
    <w:p>
      <w:pPr>
        <w:pStyle w:val="ListBullet"/>
        <w:spacing w:after="40"/>
      </w:pPr>
      <w:r>
        <w:rPr>
          <w:b/>
        </w:rPr>
        <w:t xml:space="preserve">Other saved — </w:t>
      </w:r>
      <w:r>
        <w:t>inactive connections each with a “Use” button.</w:t>
      </w:r>
    </w:p>
    <w:p>
      <w:pPr>
        <w:pStyle w:val="ListBullet"/>
        <w:spacing w:after="40"/>
      </w:pPr>
      <w:r>
        <w:rPr>
          <w:b/>
        </w:rPr>
        <w:t xml:space="preserve">Refresh banners — </w:t>
      </w:r>
      <w:r>
        <w:t>pulling / success / failure feedback.</w:t>
      </w:r>
    </w:p>
    <w:p>
      <w:pPr>
        <w:pStyle w:val="ListBullet"/>
        <w:spacing w:after="40"/>
      </w:pPr>
      <w:r>
        <w:rPr>
          <w:b/>
        </w:rPr>
        <w:t xml:space="preserve">Credential safety — </w:t>
      </w:r>
      <w:r>
        <w:t>fields are blank on edit; secrets are never displayed.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7.  The logic behind it</w:t>
      </w:r>
    </w:p>
    <w:p>
      <w:pPr>
        <w:pStyle w:val="ListBullet"/>
        <w:spacing w:after="40"/>
      </w:pPr>
      <w:r>
        <w:rPr>
          <w:b/>
        </w:rPr>
        <w:t xml:space="preserve">One active source — </w:t>
      </w:r>
      <w:r>
        <w:t>so there is a single, unambiguous source of truth behind every screen.</w:t>
      </w:r>
    </w:p>
    <w:p>
      <w:pPr>
        <w:pStyle w:val="ListBullet"/>
        <w:spacing w:after="40"/>
      </w:pPr>
      <w:r>
        <w:rPr>
          <w:b/>
        </w:rPr>
        <w:t xml:space="preserve">Personal vs org-wide — </w:t>
      </w:r>
      <w:r>
        <w:t>connections here are personal; organization-wide credentials are set separately in the admin console and shared by the whole org.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8.  Detailed technical explanation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Security</w:t>
      </w:r>
    </w:p>
    <w:p>
      <w:pPr>
        <w:pStyle w:val="ListBullet"/>
        <w:spacing w:after="40"/>
      </w:pPr>
      <w:r>
        <w:rPr>
          <w:b/>
        </w:rPr>
        <w:t xml:space="preserve">Encrypted at rest — </w:t>
      </w:r>
      <w:r>
        <w:t>secrets are stored with authenticated encryption and never sent back to the client; editing means re-entering a value to replace it.</w:t>
      </w:r>
    </w:p>
    <w:p>
      <w:pPr>
        <w:pStyle w:val="ListBullet"/>
        <w:spacing w:after="40"/>
      </w:pPr>
      <w:r>
        <w:rPr>
          <w:b/>
        </w:rPr>
        <w:t xml:space="preserve">Switch triggers refresh — </w:t>
      </w:r>
      <w:r>
        <w:t>changing the active connection refreshes downstream data.</w:t>
      </w: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9.  Real data vs. synthetic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Connection profiles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— your saved sources.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b/>
                <w:color w:val="1A1A1A"/>
                <w:sz w:val="19"/>
              </w:rPr>
              <w:t>Credentials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color w:val="1A1A1A"/>
                <w:sz w:val="19"/>
              </w:rPr>
              <w:t>REAL — stored encrypted, never returned to the screen.</w:t>
            </w:r>
          </w:p>
        </w:tc>
      </w:tr>
      <w:tr>
        <w:tc>
          <w:tcPr>
            <w:tcW w:type="dxa" w:w="2448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b/>
                <w:color w:val="1A1A1A"/>
                <w:sz w:val="19"/>
              </w:rPr>
              <w:t>Refresh results</w:t>
            </w:r>
          </w:p>
        </w:tc>
        <w:tc>
          <w:tcPr>
            <w:tcW w:type="dxa" w:w="6912"/>
            <w:tcMar>
              <w:top w:w="80" w:type="dxa"/>
              <w:bottom w:w="80" w:type="dxa"/>
              <w:start w:w="120" w:type="dxa"/>
              <w:end w:w="120" w:type="dxa"/>
            </w:tcMar>
            <w:shd w:val="clear" w:color="auto" w:fill="FAFAFA"/>
          </w:tcPr>
          <w:p>
            <w:r>
              <w:rPr>
                <w:color w:val="1A1A1A"/>
                <w:sz w:val="19"/>
              </w:rPr>
              <w:t>REAL / LIVE — actual pull outcomes from the source.</w:t>
            </w:r>
          </w:p>
        </w:tc>
      </w:tr>
    </w:tbl>
    <w:p>
      <w:pPr>
        <w:spacing w:after="40"/>
      </w:pPr>
    </w:p>
    <w:p>
      <w:pPr>
        <w:spacing w:before="320" w:after="160"/>
        <w:pBdr>
          <w:bottom w:val="single" w:sz="8" w:space="6" w:color="D9D9D9"/>
        </w:pBdr>
      </w:pPr>
      <w:r>
        <w:rPr>
          <w:rFonts w:ascii="Calibri" w:hAnsi="Calibri"/>
          <w:b/>
          <w:color w:val="000000"/>
          <w:sz w:val="38"/>
        </w:rPr>
        <w:t>10.  Use cases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Point at a new instance</w:t>
      </w:r>
    </w:p>
    <w:p>
      <w:r>
        <w:t>Add a ServiceNow connection and make it active to drive reconciliation.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Rotate credentials</w:t>
      </w:r>
    </w:p>
    <w:p>
      <w:r>
        <w:t>Re-enter a secret to replace it without ever exposing the old one.</w:t>
      </w:r>
    </w:p>
    <w:p>
      <w:pPr>
        <w:spacing w:after="160"/>
      </w:pPr>
    </w:p>
    <w:p>
      <w:pPr>
        <w:jc w:val="center"/>
      </w:pPr>
      <w:r>
        <w:rPr>
          <w:color w:val="666666"/>
          <w:sz w:val="18"/>
        </w:rPr>
        <w:t>— Connections &amp; Integrations —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