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Ficha de validación por usuario experto</w:t>
      </w:r>
    </w:p>
    <w:p>
      <w:r>
        <w:rPr>
          <w:b/>
        </w:rPr>
        <w:t xml:space="preserve">Proyecto: </w:t>
      </w:r>
      <w:r>
        <w:t>LicitIA - Plataforma web inteligente para la gestión de convocatorias estatales</w:t>
      </w:r>
    </w:p>
    <w:p>
      <w:r>
        <w:rPr>
          <w:b/>
        </w:rPr>
        <w:t xml:space="preserve">Empresa usuaria: </w:t>
      </w:r>
      <w:r>
        <w:t>EMDERSOFT S.A.C.</w:t>
      </w:r>
    </w:p>
    <w:p>
      <w:r>
        <w:rPr>
          <w:b/>
        </w:rPr>
        <w:t xml:space="preserve">RUC: </w:t>
      </w:r>
      <w:r>
        <w:t>20482736450</w:t>
      </w:r>
    </w:p>
    <w:p>
      <w:r>
        <w:rPr>
          <w:b/>
        </w:rPr>
        <w:t xml:space="preserve">Validador: </w:t>
      </w:r>
      <w:r>
        <w:t>Javier Ulloa Semaqué</w:t>
      </w:r>
    </w:p>
    <w:p>
      <w:r>
        <w:rPr>
          <w:b/>
        </w:rPr>
        <w:t xml:space="preserve">Cargo / rol: </w:t>
      </w:r>
      <w:r>
        <w:t>Gerente / usuario experto del proceso</w:t>
      </w:r>
    </w:p>
    <w:p>
      <w:r>
        <w:rPr>
          <w:b/>
        </w:rPr>
        <w:t xml:space="preserve">Fecha: </w:t>
      </w:r>
      <w:r>
        <w:t>11/06/2026</w:t>
      </w:r>
    </w:p>
    <w:p>
      <w:pPr>
        <w:pStyle w:val="Heading1"/>
      </w:pPr>
      <w:r>
        <w:t>1. Fundamento de la validación</w:t>
      </w:r>
    </w:p>
    <w:p>
      <w:r>
        <w:t>La presente ficha recoge la validación funcional de los instrumentos por parte del usuario experto de la empresa usuaria, quien conoce el proceso manual de búsqueda, evaluación y seguimiento de convocatorias estatales, así como la necesidad que originó el desarrollo del software.</w:t>
      </w:r>
    </w:p>
    <w:p>
      <w:pPr>
        <w:pStyle w:val="Heading1"/>
      </w:pPr>
      <w:r>
        <w:t>2. Instrumentos evaluados</w:t>
      </w:r>
    </w:p>
    <w:p>
      <w:pPr>
        <w:pStyle w:val="ListBullet"/>
      </w:pPr>
      <w:r>
        <w:t>Ficha de registro del pretest para el proceso manual.</w:t>
      </w:r>
    </w:p>
    <w:p>
      <w:pPr>
        <w:pStyle w:val="ListBullet"/>
      </w:pPr>
      <w:r>
        <w:t>Ficha de registro del postest para el proceso automatizado mediante la plataforma LicitIA.</w:t>
      </w:r>
    </w:p>
    <w:p>
      <w:pPr>
        <w:pStyle w:val="ListBullet"/>
      </w:pPr>
      <w:r>
        <w:t>Matriz de consolidación y comparación de indicadores.</w:t>
      </w:r>
    </w:p>
    <w:p>
      <w:pPr>
        <w:pStyle w:val="Heading1"/>
      </w:pPr>
      <w:r>
        <w:t>3. Escala de valoración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Deficiente</w:t>
            </w:r>
          </w:p>
        </w:tc>
        <w:tc>
          <w:tcPr>
            <w:tcW w:type="dxa" w:w="3408"/>
          </w:tcPr>
          <w:p>
            <w:r>
              <w:t>No cumple el criterio y requiere reformulación.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Regular</w:t>
            </w:r>
          </w:p>
        </w:tc>
        <w:tc>
          <w:tcPr>
            <w:tcW w:type="dxa" w:w="3408"/>
          </w:tcPr>
          <w:p>
            <w:r>
              <w:t>Cumple parcialmente y requiere ajustes importantes.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Bueno</w:t>
            </w:r>
          </w:p>
        </w:tc>
        <w:tc>
          <w:tcPr>
            <w:tcW w:type="dxa" w:w="3408"/>
          </w:tcPr>
          <w:p>
            <w:r>
              <w:t>Cumple el criterio con ajustes menores.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Excelente</w:t>
            </w:r>
          </w:p>
        </w:tc>
        <w:tc>
          <w:tcPr>
            <w:tcW w:type="dxa" w:w="3408"/>
          </w:tcPr>
          <w:p>
            <w:r>
              <w:t>Cumple plenamente el criterio.</w:t>
            </w:r>
          </w:p>
        </w:tc>
      </w:tr>
    </w:tbl>
    <w:p/>
    <w:p>
      <w:pPr>
        <w:pStyle w:val="Heading1"/>
      </w:pPr>
      <w:r>
        <w:t>4. Criterios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5112"/>
          </w:tcPr>
          <w:p>
            <w:r>
              <w:t>Claridad</w:t>
            </w:r>
          </w:p>
        </w:tc>
        <w:tc>
          <w:tcPr>
            <w:tcW w:type="dxa" w:w="5112"/>
          </w:tcPr>
          <w:p>
            <w:r>
              <w:t>Los campos e instrucciones son comprensibles y no generan ambigüedad.</w:t>
            </w:r>
          </w:p>
        </w:tc>
      </w:tr>
      <w:tr>
        <w:tc>
          <w:tcPr>
            <w:tcW w:type="dxa" w:w="5112"/>
          </w:tcPr>
          <w:p>
            <w:r>
              <w:t>Pertinencia</w:t>
            </w:r>
          </w:p>
        </w:tc>
        <w:tc>
          <w:tcPr>
            <w:tcW w:type="dxa" w:w="5112"/>
          </w:tcPr>
          <w:p>
            <w:r>
              <w:t>El instrumento permite recoger información relacionada con los objetivos e indicadores.</w:t>
            </w:r>
          </w:p>
        </w:tc>
      </w:tr>
      <w:tr>
        <w:tc>
          <w:tcPr>
            <w:tcW w:type="dxa" w:w="5112"/>
          </w:tcPr>
          <w:p>
            <w:r>
              <w:t>Coherencia</w:t>
            </w:r>
          </w:p>
        </w:tc>
        <w:tc>
          <w:tcPr>
            <w:tcW w:type="dxa" w:w="5112"/>
          </w:tcPr>
          <w:p>
            <w:r>
              <w:t>Existe relación lógica entre objetivo, indicador, campo registrado y técnica de cálculo.</w:t>
            </w:r>
          </w:p>
        </w:tc>
      </w:tr>
      <w:tr>
        <w:tc>
          <w:tcPr>
            <w:tcW w:type="dxa" w:w="5112"/>
          </w:tcPr>
          <w:p>
            <w:r>
              <w:t>Suficiencia</w:t>
            </w:r>
          </w:p>
        </w:tc>
        <w:tc>
          <w:tcPr>
            <w:tcW w:type="dxa" w:w="5112"/>
          </w:tcPr>
          <w:p>
            <w:r>
              <w:t>Los campos incluidos son suficientes para medir los indicadores definidos.</w:t>
            </w:r>
          </w:p>
        </w:tc>
      </w:tr>
      <w:tr>
        <w:tc>
          <w:tcPr>
            <w:tcW w:type="dxa" w:w="5112"/>
          </w:tcPr>
          <w:p>
            <w:r>
              <w:t>Aplicabilidad</w:t>
            </w:r>
          </w:p>
        </w:tc>
        <w:tc>
          <w:tcPr>
            <w:tcW w:type="dxa" w:w="5112"/>
          </w:tcPr>
          <w:p>
            <w:r>
              <w:t>El instrumento puede ser usado en el contexto operativo de la empresa usuaria.</w:t>
            </w:r>
          </w:p>
        </w:tc>
      </w:tr>
    </w:tbl>
    <w:p/>
    <w:p>
      <w:pPr>
        <w:pStyle w:val="Heading1"/>
      </w:pPr>
      <w:r>
        <w:t>5. Evaluación del instrumento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1136"/>
          </w:tcPr>
          <w:p>
            <w:r>
              <w:rPr>
                <w:b/>
              </w:rPr>
              <w:t>Campo / componente</w:t>
            </w:r>
          </w:p>
        </w:tc>
        <w:tc>
          <w:tcPr>
            <w:tcW w:type="dxa" w:w="1136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136"/>
          </w:tcPr>
          <w:p>
            <w:r>
              <w:rPr>
                <w:b/>
              </w:rPr>
              <w:t>Claridad</w:t>
            </w:r>
          </w:p>
        </w:tc>
        <w:tc>
          <w:tcPr>
            <w:tcW w:type="dxa" w:w="1136"/>
          </w:tcPr>
          <w:p>
            <w:r>
              <w:rPr>
                <w:b/>
              </w:rPr>
              <w:t>Pertinencia</w:t>
            </w:r>
          </w:p>
        </w:tc>
        <w:tc>
          <w:tcPr>
            <w:tcW w:type="dxa" w:w="1136"/>
          </w:tcPr>
          <w:p>
            <w:r>
              <w:rPr>
                <w:b/>
              </w:rPr>
              <w:t>Coherencia</w:t>
            </w:r>
          </w:p>
        </w:tc>
        <w:tc>
          <w:tcPr>
            <w:tcW w:type="dxa" w:w="1136"/>
          </w:tcPr>
          <w:p>
            <w:r>
              <w:rPr>
                <w:b/>
              </w:rPr>
              <w:t>Suficiencia</w:t>
            </w:r>
          </w:p>
        </w:tc>
        <w:tc>
          <w:tcPr>
            <w:tcW w:type="dxa" w:w="1136"/>
          </w:tcPr>
          <w:p>
            <w:r>
              <w:rPr>
                <w:b/>
              </w:rPr>
              <w:t>Aplicabilidad</w:t>
            </w:r>
          </w:p>
        </w:tc>
        <w:tc>
          <w:tcPr>
            <w:tcW w:type="dxa" w:w="1136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1136"/>
          </w:tcPr>
          <w:p>
            <w:r>
              <w:t>Ficha pretest</w:t>
            </w:r>
          </w:p>
        </w:tc>
        <w:tc>
          <w:tcPr>
            <w:tcW w:type="dxa" w:w="1136"/>
          </w:tcPr>
          <w:p>
            <w:r>
              <w:t>Tiempo de búsqueda manual</w:t>
            </w:r>
          </w:p>
        </w:tc>
        <w:tc>
          <w:tcPr>
            <w:tcW w:type="dxa" w:w="1136"/>
          </w:tcPr>
          <w:p>
            <w:r>
              <w:t>Tiempo de búsqueda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 con ajustes menores de redacción o precisión operativa</w:t>
            </w:r>
          </w:p>
        </w:tc>
      </w:tr>
      <w:tr>
        <w:tc>
          <w:tcPr>
            <w:tcW w:type="dxa" w:w="1136"/>
          </w:tcPr>
          <w:p>
            <w:r>
              <w:t>Ficha pretest</w:t>
            </w:r>
          </w:p>
        </w:tc>
        <w:tc>
          <w:tcPr>
            <w:tcW w:type="dxa" w:w="1136"/>
          </w:tcPr>
          <w:p>
            <w:r>
              <w:t>Fecha de publicación y fecha de detección manual</w:t>
            </w:r>
          </w:p>
        </w:tc>
        <w:tc>
          <w:tcPr>
            <w:tcW w:type="dxa" w:w="1136"/>
          </w:tcPr>
          <w:p>
            <w:r>
              <w:t>Tiempo de identificación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</w:t>
            </w:r>
          </w:p>
        </w:tc>
      </w:tr>
      <w:tr>
        <w:tc>
          <w:tcPr>
            <w:tcW w:type="dxa" w:w="1136"/>
          </w:tcPr>
          <w:p>
            <w:r>
              <w:t>Ficha pretest</w:t>
            </w:r>
          </w:p>
        </w:tc>
        <w:tc>
          <w:tcPr>
            <w:tcW w:type="dxa" w:w="1136"/>
          </w:tcPr>
          <w:p>
            <w:r>
              <w:t>Errores u omisiones detectadas y campos correctos</w:t>
            </w:r>
          </w:p>
        </w:tc>
        <w:tc>
          <w:tcPr>
            <w:tcW w:type="dxa" w:w="1136"/>
          </w:tcPr>
          <w:p>
            <w:r>
              <w:t>Precisión de datos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 con ajustes menores de redacción o precisión operativa</w:t>
            </w:r>
          </w:p>
        </w:tc>
      </w:tr>
      <w:tr>
        <w:tc>
          <w:tcPr>
            <w:tcW w:type="dxa" w:w="1136"/>
          </w:tcPr>
          <w:p>
            <w:r>
              <w:t>Ficha pretest</w:t>
            </w:r>
          </w:p>
        </w:tc>
        <w:tc>
          <w:tcPr>
            <w:tcW w:type="dxa" w:w="1136"/>
          </w:tcPr>
          <w:p>
            <w:r>
              <w:t>Cobertura manual</w:t>
            </w:r>
          </w:p>
        </w:tc>
        <w:tc>
          <w:tcPr>
            <w:tcW w:type="dxa" w:w="1136"/>
          </w:tcPr>
          <w:p>
            <w:r>
              <w:t>Cobertura de seguimiento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 con ajustes menores de redacción o precisión operativa</w:t>
            </w:r>
          </w:p>
        </w:tc>
      </w:tr>
      <w:tr>
        <w:tc>
          <w:tcPr>
            <w:tcW w:type="dxa" w:w="1136"/>
          </w:tcPr>
          <w:p>
            <w:r>
              <w:t>Ficha postest</w:t>
            </w:r>
          </w:p>
        </w:tc>
        <w:tc>
          <w:tcPr>
            <w:tcW w:type="dxa" w:w="1136"/>
          </w:tcPr>
          <w:p>
            <w:r>
              <w:t>Tiempo de extracción y tiempo de alerta</w:t>
            </w:r>
          </w:p>
        </w:tc>
        <w:tc>
          <w:tcPr>
            <w:tcW w:type="dxa" w:w="1136"/>
          </w:tcPr>
          <w:p>
            <w:r>
              <w:t>Tiempo de búsqueda / identificación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</w:t>
            </w:r>
          </w:p>
        </w:tc>
      </w:tr>
      <w:tr>
        <w:tc>
          <w:tcPr>
            <w:tcW w:type="dxa" w:w="1136"/>
          </w:tcPr>
          <w:p>
            <w:r>
              <w:t>Ficha postest</w:t>
            </w:r>
          </w:p>
        </w:tc>
        <w:tc>
          <w:tcPr>
            <w:tcW w:type="dxa" w:w="1136"/>
          </w:tcPr>
          <w:p>
            <w:r>
              <w:t>Campos correctos y precisión de extracción</w:t>
            </w:r>
          </w:p>
        </w:tc>
        <w:tc>
          <w:tcPr>
            <w:tcW w:type="dxa" w:w="1136"/>
          </w:tcPr>
          <w:p>
            <w:r>
              <w:t>Precisión de datos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 con ajustes menores de redacción o precisión operativa</w:t>
            </w:r>
          </w:p>
        </w:tc>
      </w:tr>
      <w:tr>
        <w:tc>
          <w:tcPr>
            <w:tcW w:type="dxa" w:w="1136"/>
          </w:tcPr>
          <w:p>
            <w:r>
              <w:t>Ficha postest</w:t>
            </w:r>
          </w:p>
        </w:tc>
        <w:tc>
          <w:tcPr>
            <w:tcW w:type="dxa" w:w="1136"/>
          </w:tcPr>
          <w:p>
            <w:r>
              <w:t>Cobertura automática</w:t>
            </w:r>
          </w:p>
        </w:tc>
        <w:tc>
          <w:tcPr>
            <w:tcW w:type="dxa" w:w="1136"/>
          </w:tcPr>
          <w:p>
            <w:r>
              <w:t>Cobertura de seguimiento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 con ajustes menores de redacción o precisión operativa</w:t>
            </w:r>
          </w:p>
        </w:tc>
      </w:tr>
      <w:tr>
        <w:tc>
          <w:tcPr>
            <w:tcW w:type="dxa" w:w="1136"/>
          </w:tcPr>
          <w:p>
            <w:r>
              <w:t>Matriz comparativa</w:t>
            </w:r>
          </w:p>
        </w:tc>
        <w:tc>
          <w:tcPr>
            <w:tcW w:type="dxa" w:w="1136"/>
          </w:tcPr>
          <w:p>
            <w:r>
              <w:t>Valor pretest, valor postest, diferencia y mejora</w:t>
            </w:r>
          </w:p>
        </w:tc>
        <w:tc>
          <w:tcPr>
            <w:tcW w:type="dxa" w:w="1136"/>
          </w:tcPr>
          <w:p>
            <w:r>
              <w:t>Comparación de indicadores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Conforme con ajustes menores de redacción o precisión operativa</w:t>
            </w:r>
          </w:p>
        </w:tc>
      </w:tr>
      <w:tr>
        <w:tc>
          <w:tcPr>
            <w:tcW w:type="dxa" w:w="1136"/>
          </w:tcPr>
          <w:p>
            <w:r>
              <w:t>Matriz comparativa</w:t>
            </w:r>
          </w:p>
        </w:tc>
        <w:tc>
          <w:tcPr>
            <w:tcW w:type="dxa" w:w="1136"/>
          </w:tcPr>
          <w:p>
            <w:r>
              <w:t>Técnica de cálculo e interpretación</w:t>
            </w:r>
          </w:p>
        </w:tc>
        <w:tc>
          <w:tcPr>
            <w:tcW w:type="dxa" w:w="1136"/>
          </w:tcPr>
          <w:p>
            <w:r>
              <w:t>Análisis de mejora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Conforme</w:t>
            </w:r>
          </w:p>
        </w:tc>
      </w:tr>
    </w:tbl>
    <w:p/>
    <w:p>
      <w:pPr>
        <w:pStyle w:val="Heading1"/>
      </w:pPr>
      <w:r>
        <w:t>6. Dictamen del usuario experto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Marcar</w:t>
            </w:r>
          </w:p>
        </w:tc>
      </w:tr>
      <w:tr>
        <w:tc>
          <w:tcPr>
            <w:tcW w:type="dxa" w:w="5112"/>
          </w:tcPr>
          <w:p>
            <w:r>
              <w:t>Aplicable sin observaciones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Aplicable con observaciones menores</w:t>
            </w:r>
          </w:p>
        </w:tc>
        <w:tc>
          <w:tcPr>
            <w:tcW w:type="dxa" w:w="5112"/>
          </w:tcPr>
          <w:p>
            <w:r>
              <w:t>X</w:t>
            </w:r>
          </w:p>
        </w:tc>
      </w:tr>
      <w:tr>
        <w:tc>
          <w:tcPr>
            <w:tcW w:type="dxa" w:w="5112"/>
          </w:tcPr>
          <w:p>
            <w:r>
              <w:t>Aplicable después de corregir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No aplicable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r>
        <w:rPr>
          <w:b/>
        </w:rPr>
        <w:t xml:space="preserve">Observaciones generales: </w:t>
      </w:r>
      <w:r>
        <w:t>Los instrumentos son pertinentes y aplicables al proceso de gestión de convocatorias estatales. Se sugieren ajustes menores de redacción y precisión operativa, sin afectar su aplicación.</w:t>
      </w:r>
    </w:p>
    <w:p>
      <w:r>
        <w:br/>
        <w:t>Firma y sello: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468880" cy="1136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b75128d-fe9a-4fe4-9522-12c7bd683cc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3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Javier Ulloa Semaqué</w:t>
      </w:r>
    </w:p>
    <w:p>
      <w:r>
        <w:t>Gerente / usuario experto del proceso</w:t>
      </w:r>
    </w:p>
    <w:p>
      <w:r>
        <w:t>EMDERSOFT S.A.C. - RUC 20482736450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