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Asurion — Business Context</w:t>
      </w:r>
    </w:p>
    <w:p>
      <w:pPr>
        <w:spacing w:after="120"/>
      </w:pPr>
      <w:r>
        <w:t xml:space="preserve">Business, operational, and product context for Asurion. Primary reference for any analysis or product strategy work.</w:t>
      </w:r>
    </w:p>
    <w:p>
      <w:pPr>
        <w:pStyle w:val="Heading2"/>
      </w:pPr>
      <w:r>
        <w:t xml:space="preserve">1. Company Overview</w:t>
      </w:r>
    </w:p>
    <w:p>
      <w:pPr>
        <w:spacing w:after="80"/>
      </w:pPr>
      <w:r>
        <w:rPr>
          <w:b/>
          <w:bCs/>
        </w:rPr>
        <w:t xml:space="preserve">Company</w:t>
      </w:r>
      <w:r>
        <w:t xml:space="preserve">: Asurion, LLC</w:t>
      </w:r>
    </w:p>
    <w:p>
      <w:pPr>
        <w:spacing w:after="80"/>
      </w:pPr>
      <w:r>
        <w:rPr>
          <w:b/>
          <w:bCs/>
        </w:rPr>
        <w:t xml:space="preserve">Founded</w:t>
      </w:r>
      <w:r>
        <w:t xml:space="preserve">: 1994</w:t>
      </w:r>
    </w:p>
    <w:p>
      <w:pPr>
        <w:spacing w:after="80"/>
      </w:pPr>
      <w:r>
        <w:rPr>
          <w:b/>
          <w:bCs/>
        </w:rPr>
        <w:t xml:space="preserve">HQ</w:t>
      </w:r>
      <w:r>
        <w:t xml:space="preserve">: Nashville, Tennessee</w:t>
      </w:r>
    </w:p>
    <w:p>
      <w:pPr>
        <w:spacing w:after="80"/>
      </w:pPr>
      <w:r>
        <w:rPr>
          <w:b/>
          <w:bCs/>
        </w:rPr>
        <w:t xml:space="preserve">Reach</w:t>
      </w:r>
      <w:r>
        <w:t xml:space="preserve">: 290 million consumers globally</w:t>
      </w:r>
    </w:p>
    <w:p>
      <w:pPr>
        <w:spacing w:after="80"/>
      </w:pPr>
      <w:r>
        <w:rPr>
          <w:b/>
          <w:bCs/>
        </w:rPr>
        <w:t xml:space="preserve">Employees</w:t>
      </w:r>
      <w:r>
        <w:t xml:space="preserve">: ~19,000</w:t>
      </w:r>
    </w:p>
    <w:p>
      <w:pPr>
        <w:spacing w:after="80"/>
      </w:pPr>
      <w:r>
        <w:rPr>
          <w:b/>
          <w:bCs/>
        </w:rPr>
        <w:t xml:space="preserve">Estimated Annual Revenue</w:t>
      </w:r>
      <w:r>
        <w:t xml:space="preserve">: $2–3 billion</w:t>
      </w:r>
    </w:p>
    <w:p>
      <w:pPr>
        <w:spacing w:after="80"/>
      </w:pPr>
      <w:r>
        <w:rPr>
          <w:b/>
          <w:bCs/>
        </w:rPr>
        <w:t xml:space="preserve">Core Business</w:t>
      </w:r>
      <w:r>
        <w:t xml:space="preserve">: Device protection insurance, tech support, and repair services for consumer electronics</w:t>
      </w:r>
    </w:p>
    <w:p>
      <w:pPr>
        <w:pStyle w:val="Heading2"/>
      </w:pPr>
      <w:r>
        <w:t xml:space="preserve">2. Customer Segments</w:t>
      </w:r>
    </w:p>
    <w:p>
      <w:pPr>
        <w:pStyle w:val="ListParagraph"/>
        <w:numPr>
          <w:ilvl w:val="0"/>
          <w:numId w:val="2"/>
        </w:numPr>
      </w:pPr>
      <w:r>
        <w:t xml:space="preserve">Smartphone users via carrier bundles (Verizon, AT&amp;T, T-Mobile) — dominant segment</w:t>
      </w:r>
    </w:p>
    <w:p>
      <w:pPr>
        <w:pStyle w:val="ListParagraph"/>
        <w:numPr>
          <w:ilvl w:val="0"/>
          <w:numId w:val="2"/>
        </w:numPr>
      </w:pPr>
      <w:r>
        <w:t xml:space="preserve">Direct consumers via Asurion Home+ for whole-home appliance protection</w:t>
      </w:r>
    </w:p>
    <w:p>
      <w:pPr>
        <w:pStyle w:val="ListParagraph"/>
        <w:numPr>
          <w:ilvl w:val="0"/>
          <w:numId w:val="2"/>
        </w:numPr>
      </w:pPr>
      <w:r>
        <w:t xml:space="preserve">Retailer-bundled customers (Amazon, Walmart, Best Buy)</w:t>
      </w:r>
    </w:p>
    <w:p>
      <w:pPr>
        <w:pStyle w:val="ListParagraph"/>
        <w:numPr>
          <w:ilvl w:val="0"/>
          <w:numId w:val="2"/>
        </w:numPr>
      </w:pPr>
      <w:r>
        <w:t xml:space="preserve">Business customers buying fleet device protection</w:t>
      </w:r>
    </w:p>
    <w:p>
      <w:pPr>
        <w:pStyle w:val="ListParagraph"/>
        <w:numPr>
          <w:ilvl w:val="0"/>
          <w:numId w:val="2"/>
        </w:numPr>
      </w:pPr>
      <w:r>
        <w:t xml:space="preserve">Device mix: iPhone ~55%, Samsung ~30%, other Android ~15%</w:t>
      </w:r>
    </w:p>
    <w:p>
      <w:pPr>
        <w:pStyle w:val="Heading2"/>
      </w:pPr>
      <w:r>
        <w:t xml:space="preserve">3. Sales and Distribution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Carrier bundles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Largest channel; Verizon, AT&amp;T, T-Mobile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Retail partner bundles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Amazon, Walmart, Best Buy white-label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Direct-to-consumer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~12%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Asurion.com, Asurion Home+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uBreakiFix retail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500+ US locations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 premiums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$5–$17 per device per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40–50%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Claim deductibles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$99–$250 per claim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Variable — see cost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Replacement device markup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Refurbished sourced wholesale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30–40%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uBreakiFix repair labor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Walk-in fees + Asurion-routed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/ handling fees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Shipping, diagnostics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~60%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Operational cost per claim by channel</w:t>
      </w:r>
    </w:p>
    <w:p>
      <w:pPr>
        <w:pStyle w:val="ListParagraph"/>
        <w:numPr>
          <w:ilvl w:val="0"/>
          <w:numId w:val="2"/>
        </w:numPr>
      </w:pPr>
      <w:r>
        <w:t xml:space="preserve">App-filed claim: ~$3 to service end-to-end</w:t>
      </w:r>
    </w:p>
    <w:p>
      <w:pPr>
        <w:pStyle w:val="ListParagraph"/>
        <w:numPr>
          <w:ilvl w:val="0"/>
          <w:numId w:val="2"/>
        </w:numPr>
      </w:pPr>
      <w:r>
        <w:t xml:space="preserve">Phone-filed claim: ~$22 to service (call handler labor + IVR)</w:t>
      </w:r>
    </w:p>
    <w:p>
      <w:pPr>
        <w:pStyle w:val="ListParagraph"/>
        <w:numPr>
          <w:ilvl w:val="0"/>
          <w:numId w:val="2"/>
        </w:numPr>
      </w:pPr>
      <w:r>
        <w:t xml:space="preserve">Retail walk-in: ~$8 to service</w:t>
      </w:r>
    </w:p>
    <w:p>
      <w:pPr>
        <w:pStyle w:val="ListParagraph"/>
        <w:numPr>
          <w:ilvl w:val="0"/>
          <w:numId w:val="2"/>
        </w:numPr>
      </w:pPr>
      <w:r>
        <w:t xml:space="preserve">Web-filed claim: ~$13 to service</w:t>
      </w:r>
    </w:p>
    <w:p>
      <w:pPr>
        <w:spacing w:after="120"/>
      </w:pPr>
      <w:r>
        <w:t xml:space="preserve">Channel mix is one of the largest controllable levers in the business. Each percentage point shifted from phone to app saves ~$19 per claim.</w:t>
      </w:r>
    </w:p>
    <w:p>
      <w:pPr>
        <w:pStyle w:val="Heading2"/>
      </w:pPr>
      <w:r>
        <w:t xml:space="preserve">5. Product and Service Workflow</w:t>
      </w:r>
    </w:p>
    <w:p>
      <w:pPr>
        <w:pStyle w:val="Heading3"/>
      </w:pPr>
      <w:r>
        <w:t xml:space="preserve">Step 1: Enrollment</w:t>
      </w:r>
    </w:p>
    <w:p>
      <w:pPr>
        <w:spacing w:after="120"/>
      </w:pPr>
      <w:r>
        <w:t xml:space="preserve">Customer signs up at point of phone purchase, online during plan setup, or directly via Asurion.</w:t>
      </w:r>
    </w:p>
    <w:p>
      <w:pPr>
        <w:pStyle w:val="Heading3"/>
      </w:pPr>
      <w:r>
        <w:t xml:space="preserve">Step 2: Claim filing</w:t>
      </w:r>
    </w:p>
    <w:p>
      <w:pPr>
        <w:spacing w:after="120"/>
      </w:pPr>
      <w:r>
        <w:t xml:space="preserve">Customer chooses a channel: mobile app, phone, uBreakiFix walk-in, or web portal.</w:t>
      </w:r>
    </w:p>
    <w:p>
      <w:pPr>
        <w:pStyle w:val="Heading3"/>
      </w:pPr>
      <w:r>
        <w:t xml:space="preserve">Step 3: Filing flow within app or web</w:t>
      </w:r>
    </w:p>
    <w:p>
      <w:pPr>
        <w:pStyle w:val="ListParagraph"/>
        <w:numPr>
          <w:ilvl w:val="0"/>
          <w:numId w:val="2"/>
        </w:numPr>
      </w:pPr>
      <w:r>
        <w:t xml:space="preserve">Identity verification (phone number, account login)</w:t>
      </w:r>
    </w:p>
    <w:p>
      <w:pPr>
        <w:pStyle w:val="ListParagraph"/>
        <w:numPr>
          <w:ilvl w:val="0"/>
          <w:numId w:val="2"/>
        </w:numPr>
      </w:pPr>
      <w:r>
        <w:t xml:space="preserve">Device identification</w:t>
      </w:r>
    </w:p>
    <w:p>
      <w:pPr>
        <w:pStyle w:val="ListParagraph"/>
        <w:numPr>
          <w:ilvl w:val="0"/>
          <w:numId w:val="2"/>
        </w:numPr>
      </w:pPr>
      <w:r>
        <w:t xml:space="preserve">Damage description</w:t>
      </w:r>
    </w:p>
    <w:p>
      <w:pPr>
        <w:pStyle w:val="ListParagraph"/>
        <w:numPr>
          <w:ilvl w:val="0"/>
          <w:numId w:val="2"/>
        </w:numPr>
      </w:pPr>
      <w:r>
        <w:t xml:space="preserve">Photo upload (required for screen and physical damage claims)</w:t>
      </w:r>
    </w:p>
    <w:p>
      <w:pPr>
        <w:pStyle w:val="ListParagraph"/>
        <w:numPr>
          <w:ilvl w:val="0"/>
          <w:numId w:val="2"/>
        </w:numPr>
      </w:pPr>
      <w:r>
        <w:t xml:space="preserve">Deductible disclosure ($99–$250 shown to user)</w:t>
      </w:r>
    </w:p>
    <w:p>
      <w:pPr>
        <w:pStyle w:val="ListParagraph"/>
        <w:numPr>
          <w:ilvl w:val="0"/>
          <w:numId w:val="2"/>
        </w:numPr>
      </w:pPr>
      <w:r>
        <w:t xml:space="preserve">Payment (deductible charged via stored payment method)</w:t>
      </w:r>
    </w:p>
    <w:p>
      <w:pPr>
        <w:pStyle w:val="ListParagraph"/>
        <w:numPr>
          <w:ilvl w:val="0"/>
          <w:numId w:val="2"/>
        </w:numPr>
      </w:pPr>
      <w:r>
        <w:t xml:space="preserve">Claim confirmation</w:t>
      </w:r>
    </w:p>
    <w:p>
      <w:pPr>
        <w:pStyle w:val="Heading3"/>
      </w:pPr>
      <w:r>
        <w:t xml:space="preserve">Step 4: Claim processing and fulfillment</w:t>
      </w:r>
    </w:p>
    <w:p>
      <w:pPr>
        <w:pStyle w:val="ListParagraph"/>
        <w:numPr>
          <w:ilvl w:val="0"/>
          <w:numId w:val="2"/>
        </w:numPr>
      </w:pPr>
      <w:r>
        <w:t xml:space="preserve">Replacement claim: refurbished device shipped</w:t>
      </w:r>
    </w:p>
    <w:p>
      <w:pPr>
        <w:pStyle w:val="ListParagraph"/>
        <w:numPr>
          <w:ilvl w:val="0"/>
          <w:numId w:val="2"/>
        </w:numPr>
      </w:pPr>
      <w:r>
        <w:t xml:space="preserve">Same-unit repair: device sent to repair facility</w:t>
      </w:r>
    </w:p>
    <w:p>
      <w:pPr>
        <w:pStyle w:val="ListParagraph"/>
        <w:numPr>
          <w:ilvl w:val="0"/>
          <w:numId w:val="2"/>
        </w:numPr>
      </w:pPr>
      <w:r>
        <w:t xml:space="preserve">Walk-in repair: customer brings device to uBreakiFix for same-day fix</w:t>
      </w:r>
    </w:p>
    <w:p>
      <w:pPr>
        <w:pStyle w:val="Heading3"/>
      </w:pPr>
      <w:r>
        <w:t xml:space="preserve">Step 5: Resolution</w:t>
      </w:r>
    </w:p>
    <w:p>
      <w:pPr>
        <w:spacing w:after="120"/>
      </w:pPr>
      <w:r>
        <w:t xml:space="preserve">Customer receives replacement or repaired device. Coverage continues unless cancelled.</w:t>
      </w:r>
    </w:p>
    <w:p>
      <w:pPr>
        <w:pStyle w:val="Heading2"/>
      </w:pPr>
      <w:r>
        <w:t xml:space="preserve">6. Mobile App — Technical Surface</w:t>
      </w:r>
    </w:p>
    <w:p>
      <w:pPr>
        <w:pStyle w:val="ListParagraph"/>
        <w:numPr>
          <w:ilvl w:val="0"/>
          <w:numId w:val="2"/>
        </w:numPr>
      </w:pPr>
      <w:r>
        <w:t xml:space="preserve">iOS and Android native apps</w:t>
      </w:r>
    </w:p>
    <w:p>
      <w:pPr>
        <w:pStyle w:val="ListParagraph"/>
        <w:numPr>
          <w:ilvl w:val="0"/>
          <w:numId w:val="2"/>
        </w:numPr>
      </w:pPr>
      <w:r>
        <w:t xml:space="preserve">Primary digital filing channel</w:t>
      </w:r>
    </w:p>
    <w:p>
      <w:pPr>
        <w:pStyle w:val="ListParagraph"/>
        <w:numPr>
          <w:ilvl w:val="0"/>
          <w:numId w:val="2"/>
        </w:numPr>
      </w:pPr>
      <w:r>
        <w:t xml:space="preserve">Native camera integration for photo uploads</w:t>
      </w:r>
    </w:p>
    <w:p>
      <w:pPr>
        <w:pStyle w:val="ListParagraph"/>
        <w:numPr>
          <w:ilvl w:val="0"/>
          <w:numId w:val="2"/>
        </w:numPr>
      </w:pPr>
      <w:r>
        <w:t xml:space="preserve">Push notifications for claim status updates</w:t>
      </w:r>
    </w:p>
    <w:p>
      <w:pPr>
        <w:pStyle w:val="ListParagraph"/>
        <w:numPr>
          <w:ilvl w:val="0"/>
          <w:numId w:val="2"/>
        </w:numPr>
      </w:pPr>
      <w:r>
        <w:t xml:space="preserve">Home screen prominently displays Coverage, Account, Help</w:t>
      </w:r>
    </w:p>
    <w:p>
      <w:pPr>
        <w:pStyle w:val="ListParagraph"/>
        <w:numPr>
          <w:ilvl w:val="0"/>
          <w:numId w:val="2"/>
        </w:numPr>
      </w:pPr>
      <w:r>
        <w:t xml:space="preserve">File a Claim is currently nested under the Coverage tab — not a primary home screen CTA</w:t>
      </w:r>
    </w:p>
    <w:p>
      <w:pPr>
        <w:pStyle w:val="ListParagraph"/>
        <w:numPr>
          <w:ilvl w:val="0"/>
          <w:numId w:val="2"/>
        </w:numPr>
      </w:pPr>
      <w:r>
        <w:t xml:space="preserve">Image upload pipeline accepts photos directly from device camera</w:t>
      </w:r>
    </w:p>
    <w:p>
      <w:pPr>
        <w:pStyle w:val="ListParagraph"/>
        <w:numPr>
          <w:ilvl w:val="0"/>
          <w:numId w:val="2"/>
        </w:numPr>
      </w:pPr>
      <w:r>
        <w:t xml:space="preserve">Image upload pipeline does NOT currently apply client-side compression before upload</w:t>
      </w:r>
    </w:p>
    <w:p>
      <w:pPr>
        <w:pStyle w:val="ListParagraph"/>
        <w:numPr>
          <w:ilvl w:val="0"/>
          <w:numId w:val="2"/>
        </w:numPr>
      </w:pPr>
      <w:r>
        <w:t xml:space="preserve">Server-side upload timeout: 30 seconds (industry-standard but inadequate for newer iPhone camera files)</w:t>
      </w:r>
    </w:p>
    <w:p>
      <w:pPr>
        <w:pStyle w:val="ListParagraph"/>
        <w:numPr>
          <w:ilvl w:val="0"/>
          <w:numId w:val="2"/>
        </w:numPr>
      </w:pPr>
      <w:r>
        <w:t xml:space="preserve">Photo file size at point of capture varies by device generation:</w:t>
      </w:r>
    </w:p>
    <w:p>
      <w:pPr>
        <w:pStyle w:val="ListParagraph"/>
        <w:numPr>
          <w:ilvl w:val="0"/>
          <w:numId w:val="2"/>
        </w:numPr>
      </w:pPr>
      <w:r>
        <w:t xml:space="preserve">  iPhone 15 Pro / Pro Max: 15–22 MB (48MP main camera)</w:t>
      </w:r>
    </w:p>
    <w:p>
      <w:pPr>
        <w:pStyle w:val="ListParagraph"/>
        <w:numPr>
          <w:ilvl w:val="0"/>
          <w:numId w:val="2"/>
        </w:numPr>
      </w:pPr>
      <w:r>
        <w:t xml:space="preserve">  iPhone 15 / earlier: 4–8 MB</w:t>
      </w:r>
    </w:p>
    <w:p>
      <w:pPr>
        <w:pStyle w:val="ListParagraph"/>
        <w:numPr>
          <w:ilvl w:val="0"/>
          <w:numId w:val="2"/>
        </w:numPr>
      </w:pPr>
      <w:r>
        <w:t xml:space="preserve">  Samsung Galaxy flagship: 5–7 MB</w:t>
      </w:r>
    </w:p>
    <w:p>
      <w:pPr>
        <w:pStyle w:val="ListParagraph"/>
        <w:numPr>
          <w:ilvl w:val="0"/>
          <w:numId w:val="2"/>
        </w:numPr>
      </w:pPr>
      <w:r>
        <w:t xml:space="preserve">  Other Android: 3–6 MB</w:t>
      </w:r>
    </w:p>
    <w:p>
      <w:pPr>
        <w:pStyle w:val="Heading2"/>
      </w:pPr>
      <w:r>
        <w:t xml:space="preserve">7. Web Portal — Technical Surface</w:t>
      </w:r>
    </w:p>
    <w:p>
      <w:pPr>
        <w:pStyle w:val="ListParagraph"/>
        <w:numPr>
          <w:ilvl w:val="0"/>
          <w:numId w:val="2"/>
        </w:numPr>
      </w:pPr>
      <w:r>
        <w:t xml:space="preserve">Available at asurion.com and via carrier-branded URLs</w:t>
      </w:r>
    </w:p>
    <w:p>
      <w:pPr>
        <w:pStyle w:val="ListParagraph"/>
        <w:numPr>
          <w:ilvl w:val="0"/>
          <w:numId w:val="2"/>
        </w:numPr>
      </w:pPr>
      <w:r>
        <w:t xml:space="preserve">Same claim filing flow as mobile app</w:t>
      </w:r>
    </w:p>
    <w:p>
      <w:pPr>
        <w:pStyle w:val="ListParagraph"/>
        <w:numPr>
          <w:ilvl w:val="0"/>
          <w:numId w:val="2"/>
        </w:numPr>
      </w:pPr>
      <w:r>
        <w:t xml:space="preserve">Receives status updates via email and SMS</w:t>
      </w:r>
    </w:p>
    <w:p>
      <w:pPr>
        <w:pStyle w:val="ListParagraph"/>
        <w:numPr>
          <w:ilvl w:val="0"/>
          <w:numId w:val="2"/>
        </w:numPr>
      </w:pPr>
      <w:r>
        <w:t xml:space="preserve">Customer can log back in to check claim status</w:t>
      </w:r>
    </w:p>
    <w:p>
      <w:pPr>
        <w:pStyle w:val="Heading2"/>
      </w:pPr>
      <w:r>
        <w:t xml:space="preserve">8.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Competitor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AppleCare+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Manufacturer-direct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Apple-only; bundled at iPhone purchase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Samsung Care+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Manufacturer-direct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Samsung-only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Allstate Mobile / SquareTrade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Third-party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Lower-priced; some carrier integrations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iFixit and local repair shops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DIY / third-party repair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Repair-only; popular for screens at $45–$89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uBreakiFix walk-in (no insurance)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Asurion-owned retail repair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locations as Asurion-routed; priced as third-party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Pricing comparison — screen repair (iPhone 15 Pro)</w:t>
      </w:r>
    </w:p>
    <w:p>
      <w:pPr>
        <w:pStyle w:val="ListParagraph"/>
        <w:numPr>
          <w:ilvl w:val="0"/>
          <w:numId w:val="2"/>
        </w:numPr>
      </w:pPr>
      <w:r>
        <w:t xml:space="preserve">Asurion deductible: $99–$149 (plus monthly premium)</w:t>
      </w:r>
    </w:p>
    <w:p>
      <w:pPr>
        <w:pStyle w:val="ListParagraph"/>
        <w:numPr>
          <w:ilvl w:val="0"/>
          <w:numId w:val="2"/>
        </w:numPr>
      </w:pPr>
      <w:r>
        <w:t xml:space="preserve">AppleCare+ deductible: $29 (plus monthly fee)</w:t>
      </w:r>
    </w:p>
    <w:p>
      <w:pPr>
        <w:pStyle w:val="ListParagraph"/>
        <w:numPr>
          <w:ilvl w:val="0"/>
          <w:numId w:val="2"/>
        </w:numPr>
      </w:pPr>
      <w:r>
        <w:t xml:space="preserve">iFixit DIY kit: $59–$89</w:t>
      </w:r>
    </w:p>
    <w:p>
      <w:pPr>
        <w:pStyle w:val="ListParagraph"/>
        <w:numPr>
          <w:ilvl w:val="0"/>
          <w:numId w:val="2"/>
        </w:numPr>
      </w:pPr>
      <w:r>
        <w:t xml:space="preserve">Local repair shops: $45–$120</w:t>
      </w:r>
    </w:p>
    <w:p>
      <w:pPr>
        <w:pStyle w:val="ListParagraph"/>
        <w:numPr>
          <w:ilvl w:val="0"/>
          <w:numId w:val="2"/>
        </w:numPr>
      </w:pPr>
      <w:r>
        <w:t xml:space="preserve">uBreakiFix walk-in (no insurance): $249–$299</w:t>
      </w:r>
    </w:p>
    <w:p>
      <w:pPr>
        <w:pStyle w:val="Heading2"/>
      </w:pPr>
      <w:r>
        <w:t xml:space="preserve">9. Cost Structure for Screen Repair</w:t>
      </w:r>
    </w:p>
    <w:p>
      <w:pPr>
        <w:pStyle w:val="ListParagraph"/>
        <w:numPr>
          <w:ilvl w:val="0"/>
          <w:numId w:val="2"/>
        </w:numPr>
      </w:pPr>
      <w:r>
        <w:t xml:space="preserve">Replacement screen part: $45–$80</w:t>
      </w:r>
    </w:p>
    <w:p>
      <w:pPr>
        <w:pStyle w:val="ListParagraph"/>
        <w:numPr>
          <w:ilvl w:val="0"/>
          <w:numId w:val="2"/>
        </w:numPr>
      </w:pPr>
      <w:r>
        <w:t xml:space="preserve">Labor (uBreakiFix technician): $25–$40</w:t>
      </w:r>
    </w:p>
    <w:p>
      <w:pPr>
        <w:pStyle w:val="ListParagraph"/>
        <w:numPr>
          <w:ilvl w:val="0"/>
          <w:numId w:val="2"/>
        </w:numPr>
      </w:pPr>
      <w:r>
        <w:t xml:space="preserve">Logistics and overhead: $15–$25</w:t>
      </w:r>
    </w:p>
    <w:p>
      <w:pPr>
        <w:pStyle w:val="ListParagraph"/>
        <w:numPr>
          <w:ilvl w:val="0"/>
          <w:numId w:val="2"/>
        </w:numPr>
      </w:pPr>
      <w:r>
        <w:t xml:space="preserve">Total cost per screen repair: ~$85–$145</w:t>
      </w:r>
    </w:p>
    <w:p>
      <w:pPr>
        <w:pStyle w:val="ListParagraph"/>
        <w:numPr>
          <w:ilvl w:val="0"/>
          <w:numId w:val="2"/>
        </w:numPr>
      </w:pPr>
      <w:r>
        <w:t xml:space="preserve">Current deductible revenue: $99–$149</w:t>
      </w:r>
    </w:p>
    <w:p>
      <w:pPr>
        <w:pStyle w:val="ListParagraph"/>
        <w:numPr>
          <w:ilvl w:val="0"/>
          <w:numId w:val="2"/>
        </w:numPr>
      </w:pPr>
      <w:r>
        <w:t xml:space="preserve">Implied gross margin per repair: 0–30%</w:t>
      </w:r>
    </w:p>
    <w:p>
      <w:pPr>
        <w:pStyle w:val="Heading2"/>
      </w:pPr>
      <w:r>
        <w:t xml:space="preserve">10. Customer Behavior Patterns</w:t>
      </w:r>
    </w:p>
    <w:p>
      <w:pPr>
        <w:pStyle w:val="Heading3"/>
      </w:pPr>
      <w:r>
        <w:t xml:space="preserve">Screen repair abandonment → third-party repair → cancellation</w:t>
      </w:r>
    </w:p>
    <w:p>
      <w:pPr>
        <w:spacing w:after="120"/>
      </w:pPr>
      <w:r>
        <w:t xml:space="preserve">Customers abandoning a screen repair claim at the deductible disclosure step exhibit a clear behavioral sequence:</w:t>
      </w:r>
    </w:p>
    <w:p>
      <w:pPr>
        <w:pStyle w:val="ListParagraph"/>
        <w:numPr>
          <w:ilvl w:val="0"/>
          <w:numId w:val="2"/>
        </w:numPr>
      </w:pPr>
      <w:r>
        <w:t xml:space="preserve">Abandon claim flow when they see the deductible amount</w:t>
      </w:r>
    </w:p>
    <w:p>
      <w:pPr>
        <w:pStyle w:val="ListParagraph"/>
        <w:numPr>
          <w:ilvl w:val="0"/>
          <w:numId w:val="2"/>
        </w:numPr>
      </w:pPr>
      <w:r>
        <w:t xml:space="preserve">Search for third-party repair within 7 days (iFixit, local shops, uBreakiFix walk-in without insurance)</w:t>
      </w:r>
    </w:p>
    <w:p>
      <w:pPr>
        <w:pStyle w:val="ListParagraph"/>
        <w:numPr>
          <w:ilvl w:val="0"/>
          <w:numId w:val="2"/>
        </w:numPr>
      </w:pPr>
      <w:r>
        <w:t xml:space="preserve">Get the repair completed elsewhere within 14 days (~54% of abandoners do this)</w:t>
      </w:r>
    </w:p>
    <w:p>
      <w:pPr>
        <w:pStyle w:val="ListParagraph"/>
        <w:numPr>
          <w:ilvl w:val="0"/>
          <w:numId w:val="2"/>
        </w:numPr>
      </w:pPr>
      <w:r>
        <w:t xml:space="preserve">Cancel Asurion coverage within 30 days (~47% of abandoners do this)</w:t>
      </w:r>
    </w:p>
    <w:p>
      <w:pPr>
        <w:spacing w:after="120"/>
      </w:pPr>
      <w:r>
        <w:t xml:space="preserve">Exit-survey cancellation reasons most common in this cohort: "I can fix it cheaper elsewhere," "Deductible is too high," "Better off without coverage."</w:t>
      </w:r>
    </w:p>
    <w:p>
      <w:pPr>
        <w:pStyle w:val="Heading2"/>
      </w:pPr>
      <w:r>
        <w:t xml:space="preserve">11. Key Operational Facts</w:t>
      </w:r>
    </w:p>
    <w:p>
      <w:pPr>
        <w:pStyle w:val="ListParagraph"/>
        <w:numPr>
          <w:ilvl w:val="0"/>
          <w:numId w:val="2"/>
        </w:numPr>
      </w:pPr>
      <w:r>
        <w:t xml:space="preserve">Approximately 50 million claims per year globally</w:t>
      </w:r>
    </w:p>
    <w:p>
      <w:pPr>
        <w:pStyle w:val="ListParagraph"/>
        <w:numPr>
          <w:ilvl w:val="0"/>
          <w:numId w:val="2"/>
        </w:numPr>
      </w:pPr>
      <w:r>
        <w:t xml:space="preserve">Approximately 60% phone, 30% app, 6% retail, 4% web</w:t>
      </w:r>
    </w:p>
    <w:p>
      <w:pPr>
        <w:pStyle w:val="ListParagraph"/>
        <w:numPr>
          <w:ilvl w:val="0"/>
          <w:numId w:val="2"/>
        </w:numPr>
      </w:pPr>
      <w:r>
        <w:t xml:space="preserve">Average phone support call duration: 8–12 minutes per claim</w:t>
      </w:r>
    </w:p>
    <w:p>
      <w:pPr>
        <w:pStyle w:val="ListParagraph"/>
        <w:numPr>
          <w:ilvl w:val="0"/>
          <w:numId w:val="2"/>
        </w:numPr>
      </w:pPr>
      <w:r>
        <w:t xml:space="preserve">Customer LTV averages ~$140 per year per active subscriber</w:t>
      </w:r>
    </w:p>
    <w:p>
      <w:pPr>
        <w:pStyle w:val="ListParagraph"/>
        <w:numPr>
          <w:ilvl w:val="0"/>
          <w:numId w:val="2"/>
        </w:numPr>
      </w:pPr>
      <w:r>
        <w:t xml:space="preserve">Customer acquisition cost via carrier channels: ~$85</w:t>
      </w:r>
    </w:p>
    <w:p>
      <w:pPr>
        <w:pStyle w:val="ListParagraph"/>
        <w:numPr>
          <w:ilvl w:val="0"/>
          <w:numId w:val="2"/>
        </w:numPr>
      </w:pPr>
      <w:r>
        <w:t xml:space="preserve">Average customer tenure: ~3.2 years</w:t>
      </w:r>
    </w:p>
    <w:p>
      <w:pPr>
        <w:pStyle w:val="Heading2"/>
      </w:pPr>
      <w:r>
        <w:t xml:space="preserve">12. Internal Data Platforms</w:t>
      </w:r>
    </w:p>
    <w:p>
      <w:pPr>
        <w:pStyle w:val="ListParagraph"/>
        <w:numPr>
          <w:ilvl w:val="0"/>
          <w:numId w:val="2"/>
        </w:numPr>
      </w:pPr>
      <w:r>
        <w:t xml:space="preserve">Salesforce: customer records, billing, churn cohorts, carrier contract data</w:t>
      </w:r>
    </w:p>
    <w:p>
      <w:pPr>
        <w:pStyle w:val="ListParagraph"/>
        <w:numPr>
          <w:ilvl w:val="0"/>
          <w:numId w:val="2"/>
        </w:numPr>
      </w:pPr>
      <w:r>
        <w:t xml:space="preserve">Amplitude: product analytics for mobile app and web (events, funnels, drop-off)</w:t>
      </w:r>
    </w:p>
    <w:p>
      <w:pPr>
        <w:pStyle w:val="ListParagraph"/>
        <w:numPr>
          <w:ilvl w:val="0"/>
          <w:numId w:val="2"/>
        </w:numPr>
      </w:pPr>
      <w:r>
        <w:t xml:space="preserve">Sentry: error and crash reporting</w:t>
      </w:r>
    </w:p>
    <w:p>
      <w:pPr>
        <w:pStyle w:val="ListParagraph"/>
        <w:numPr>
          <w:ilvl w:val="0"/>
          <w:numId w:val="2"/>
        </w:numPr>
      </w:pPr>
      <w:r>
        <w:t xml:space="preserve">Zendesk: support ticket management</w:t>
      </w:r>
    </w:p>
    <w:p>
      <w:pPr>
        <w:pStyle w:val="ListParagraph"/>
        <w:numPr>
          <w:ilvl w:val="0"/>
          <w:numId w:val="2"/>
        </w:numPr>
      </w:pPr>
      <w:r>
        <w:t xml:space="preserve">Gong: call center transcript recording and analysis</w:t>
      </w:r>
    </w:p>
    <w:p>
      <w:pPr>
        <w:pStyle w:val="ListParagraph"/>
        <w:numPr>
          <w:ilvl w:val="0"/>
          <w:numId w:val="2"/>
        </w:numPr>
      </w:pPr>
      <w:r>
        <w:t xml:space="preserve">Internal claims processing system (proprietary)</w:t>
      </w:r>
    </w:p>
    <w:p>
      <w:pPr>
        <w:pStyle w:val="Heading2"/>
      </w:pPr>
      <w:r>
        <w:t xml:space="preserve">13. Glossary</w:t>
      </w:r>
    </w:p>
    <w:p>
      <w:pPr>
        <w:spacing w:after="80"/>
      </w:pPr>
      <w:r>
        <w:rPr>
          <w:b/>
          <w:bCs/>
        </w:rPr>
        <w:t xml:space="preserve">Claim</w:t>
      </w:r>
      <w:r>
        <w:t xml:space="preserve">: A request from a customer for replacement or repair</w:t>
      </w:r>
    </w:p>
    <w:p>
      <w:pPr>
        <w:spacing w:after="80"/>
      </w:pPr>
      <w:r>
        <w:rPr>
          <w:b/>
          <w:bCs/>
        </w:rPr>
        <w:t xml:space="preserve">Deductible</w:t>
      </w:r>
      <w:r>
        <w:t xml:space="preserve">: Customer fee per claim ($99–$250 by device tier)</w:t>
      </w:r>
    </w:p>
    <w:p>
      <w:pPr>
        <w:spacing w:after="80"/>
      </w:pPr>
      <w:r>
        <w:rPr>
          <w:b/>
          <w:bCs/>
        </w:rPr>
        <w:t xml:space="preserve">Tier</w:t>
      </w:r>
      <w:r>
        <w:t xml:space="preserve">: Device classification used for premium and deductible amount</w:t>
      </w:r>
    </w:p>
    <w:p>
      <w:pPr>
        <w:spacing w:after="80"/>
      </w:pPr>
      <w:r>
        <w:rPr>
          <w:b/>
          <w:bCs/>
        </w:rPr>
        <w:t xml:space="preserve">Carrier-channel filer</w:t>
      </w:r>
      <w:r>
        <w:t xml:space="preserve">: Sold via Verizon/AT&amp;T/T-Mobile; files via support phone</w:t>
      </w:r>
    </w:p>
    <w:p>
      <w:pPr>
        <w:spacing w:after="80"/>
      </w:pPr>
      <w:r>
        <w:rPr>
          <w:b/>
          <w:bCs/>
        </w:rPr>
        <w:t xml:space="preserve">App-channel filer</w:t>
      </w:r>
      <w:r>
        <w:t xml:space="preserve">: Files via the Asurion mobile app or carrier-branded app</w:t>
      </w:r>
    </w:p>
    <w:p>
      <w:pPr>
        <w:spacing w:after="80"/>
      </w:pPr>
      <w:r>
        <w:rPr>
          <w:b/>
          <w:bCs/>
        </w:rPr>
        <w:t xml:space="preserve">Web-channel filer</w:t>
      </w:r>
      <w:r>
        <w:t xml:space="preserve">: Files via desktop or mobile web browser</w:t>
      </w:r>
    </w:p>
    <w:p>
      <w:pPr>
        <w:spacing w:after="80"/>
      </w:pPr>
      <w:r>
        <w:rPr>
          <w:b/>
          <w:bCs/>
        </w:rPr>
        <w:t xml:space="preserve">uBreakiFix</w:t>
      </w:r>
      <w:r>
        <w:t xml:space="preserve">: Asurion-owned retail repair chain; 500+ US locations</w:t>
      </w:r>
    </w:p>
    <w:p>
      <w:pPr>
        <w:spacing w:after="80"/>
      </w:pPr>
      <w:r>
        <w:rPr>
          <w:b/>
          <w:bCs/>
        </w:rPr>
        <w:t xml:space="preserve">Refurbished replacement</w:t>
      </w:r>
      <w:r>
        <w:t xml:space="preserve">: Previously-used device, refurbished and tested</w:t>
      </w:r>
    </w:p>
    <w:p>
      <w:pPr>
        <w:spacing w:after="80"/>
      </w:pPr>
      <w:r>
        <w:rPr>
          <w:b/>
          <w:bCs/>
        </w:rPr>
        <w:t xml:space="preserve">LTV</w:t>
      </w:r>
      <w:r>
        <w:t xml:space="preserve">: Customer lifetime value — projected total revenue over tenure</w:t>
      </w:r>
    </w:p>
    <w:p>
      <w:pPr>
        <w:spacing w:after="80"/>
      </w:pPr>
      <w:r>
        <w:rPr>
          <w:b/>
          <w:bCs/>
        </w:rPr>
        <w:t xml:space="preserve">Churn</w:t>
      </w:r>
      <w:r>
        <w:t xml:space="preserve">: Customer cancellation; tracked monthly and by cohort</w:t>
      </w:r>
    </w:p>
    <w:p>
      <w:pPr>
        <w:spacing w:after="80"/>
      </w:pPr>
      <w:r>
        <w:rPr>
          <w:b/>
          <w:bCs/>
        </w:rPr>
        <w:t xml:space="preserve">Filing channel</w:t>
      </w:r>
      <w:r>
        <w:t xml:space="preserve">: Path used to file: app, phone, web, retail</w:t>
      </w:r>
    </w:p>
    <w:p>
      <w:pPr>
        <w:spacing w:after="80"/>
      </w:pPr>
      <w:r>
        <w:rPr>
          <w:b/>
          <w:bCs/>
        </w:rPr>
        <w:t xml:space="preserve">Drop-off step</w:t>
      </w:r>
      <w:r>
        <w:t xml:space="preserve">: Step in the claim filing flow where a user abandoned</w:t>
      </w:r>
    </w:p>
    <w:p>
      <w:pPr>
        <w:spacing w:after="80"/>
      </w:pPr>
      <w:r>
        <w:rPr>
          <w:b/>
          <w:bCs/>
        </w:rPr>
        <w:t xml:space="preserve">Third-party repair</w:t>
      </w:r>
      <w:r>
        <w:t xml:space="preserve">: Repair done outside the Asurion claim flow at iFixit, local shop, or uBreakiFix walk-in without insurance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D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2026-05-08T11:39:43.926Z</dcterms:created>
  <dcterms:modified xsi:type="dcterms:W3CDTF">2026-05-08T11:39:43.938Z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