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42585" w14:textId="3DAC85C2" w:rsidR="00C40286" w:rsidRPr="00C40286" w:rsidRDefault="00C40286" w:rsidP="00C835FE">
      <w:r>
        <w:t>Charts in this analysis</w:t>
      </w:r>
      <w:r w:rsidRPr="00C835FE">
        <w:t xml:space="preserve"> provide a</w:t>
      </w:r>
      <w:r>
        <w:t>n</w:t>
      </w:r>
      <w:r w:rsidRPr="00C835FE">
        <w:t xml:space="preserve"> overview of the property market, highlighting differences in agent performance, regional price trends, and the relationship between property values and distance from the city </w:t>
      </w:r>
      <w:r w:rsidRPr="00C835FE">
        <w:t>centre</w:t>
      </w:r>
      <w:r w:rsidRPr="00C835FE">
        <w:t>.</w:t>
      </w:r>
    </w:p>
    <w:p w14:paraId="185BD401" w14:textId="77777777" w:rsidR="00C40286" w:rsidRDefault="00C40286" w:rsidP="00C835FE">
      <w:pPr>
        <w:rPr>
          <w:b/>
          <w:bCs/>
        </w:rPr>
      </w:pPr>
    </w:p>
    <w:p w14:paraId="1BE739A9" w14:textId="1007FAA6" w:rsidR="00C835FE" w:rsidRPr="00C835FE" w:rsidRDefault="00C835FE" w:rsidP="00C835FE">
      <w:pPr>
        <w:rPr>
          <w:b/>
          <w:bCs/>
        </w:rPr>
      </w:pPr>
      <w:r w:rsidRPr="00C835FE">
        <w:rPr>
          <w:b/>
          <w:bCs/>
        </w:rPr>
        <w:t>1. High Volume Sellers (Top 5 Agents)</w:t>
      </w:r>
      <w:r w:rsidR="00C40286">
        <w:rPr>
          <w:b/>
          <w:bCs/>
        </w:rPr>
        <w:t xml:space="preserve"> – Bar Chart</w:t>
      </w:r>
    </w:p>
    <w:p w14:paraId="109BB6B4" w14:textId="77777777" w:rsidR="00C835FE" w:rsidRPr="00C835FE" w:rsidRDefault="00C835FE" w:rsidP="00C835FE">
      <w:pPr>
        <w:numPr>
          <w:ilvl w:val="0"/>
          <w:numId w:val="1"/>
        </w:numPr>
      </w:pPr>
      <w:r w:rsidRPr="00C835FE">
        <w:t xml:space="preserve">The chart shows the top 5 property agents in terms of </w:t>
      </w:r>
      <w:r w:rsidRPr="00C835FE">
        <w:rPr>
          <w:b/>
          <w:bCs/>
        </w:rPr>
        <w:t>total sales (AUD)</w:t>
      </w:r>
      <w:r w:rsidRPr="00C835FE">
        <w:t>.</w:t>
      </w:r>
    </w:p>
    <w:p w14:paraId="40BCD49B" w14:textId="77777777" w:rsidR="00C835FE" w:rsidRPr="00C835FE" w:rsidRDefault="00C835FE" w:rsidP="00C835FE">
      <w:pPr>
        <w:numPr>
          <w:ilvl w:val="0"/>
          <w:numId w:val="1"/>
        </w:numPr>
      </w:pPr>
      <w:proofErr w:type="spellStart"/>
      <w:r w:rsidRPr="00C835FE">
        <w:rPr>
          <w:b/>
          <w:bCs/>
        </w:rPr>
        <w:t>Jellis</w:t>
      </w:r>
      <w:proofErr w:type="spellEnd"/>
      <w:r w:rsidRPr="00C835FE">
        <w:t xml:space="preserve"> leads with the highest sales volume, followed closely by </w:t>
      </w:r>
      <w:r w:rsidRPr="00C835FE">
        <w:rPr>
          <w:b/>
          <w:bCs/>
        </w:rPr>
        <w:t>Nelson</w:t>
      </w:r>
      <w:r w:rsidRPr="00C835FE">
        <w:t>, indicating their dominance in the market.</w:t>
      </w:r>
    </w:p>
    <w:p w14:paraId="3D3980F7" w14:textId="77777777" w:rsidR="00C835FE" w:rsidRDefault="00C835FE" w:rsidP="00C835FE">
      <w:pPr>
        <w:numPr>
          <w:ilvl w:val="0"/>
          <w:numId w:val="1"/>
        </w:numPr>
      </w:pPr>
      <w:r w:rsidRPr="00C835FE">
        <w:t xml:space="preserve">This suggests that </w:t>
      </w:r>
      <w:proofErr w:type="spellStart"/>
      <w:r w:rsidRPr="00C835FE">
        <w:t>Jellis</w:t>
      </w:r>
      <w:proofErr w:type="spellEnd"/>
      <w:r w:rsidRPr="00C835FE">
        <w:t xml:space="preserve"> and Nelson may have access to higher-priced properties or a more active market reach compared to others.</w:t>
      </w:r>
    </w:p>
    <w:p w14:paraId="4DBE41B3" w14:textId="77777777" w:rsidR="00477723" w:rsidRPr="00C835FE" w:rsidRDefault="00477723" w:rsidP="00477723">
      <w:pPr>
        <w:ind w:left="720"/>
      </w:pPr>
    </w:p>
    <w:p w14:paraId="62155C4B" w14:textId="21B82E2D" w:rsidR="00C835FE" w:rsidRPr="00C835FE" w:rsidRDefault="00C835FE" w:rsidP="00C835FE">
      <w:pPr>
        <w:rPr>
          <w:b/>
          <w:bCs/>
        </w:rPr>
      </w:pPr>
      <w:r w:rsidRPr="00C835FE">
        <w:rPr>
          <w:b/>
          <w:bCs/>
        </w:rPr>
        <w:t>2. Top 5 Agents by Total House Sold</w:t>
      </w:r>
      <w:r w:rsidR="00C40286">
        <w:rPr>
          <w:b/>
          <w:bCs/>
        </w:rPr>
        <w:t xml:space="preserve"> – Bar Chart</w:t>
      </w:r>
    </w:p>
    <w:p w14:paraId="68829DE8" w14:textId="77777777" w:rsidR="00C835FE" w:rsidRPr="00C835FE" w:rsidRDefault="00C835FE" w:rsidP="00C835FE">
      <w:pPr>
        <w:numPr>
          <w:ilvl w:val="0"/>
          <w:numId w:val="2"/>
        </w:numPr>
      </w:pPr>
      <w:r w:rsidRPr="00C835FE">
        <w:t xml:space="preserve">The agents are ranked by the </w:t>
      </w:r>
      <w:r w:rsidRPr="00C835FE">
        <w:rPr>
          <w:b/>
          <w:bCs/>
        </w:rPr>
        <w:t>number of houses sold</w:t>
      </w:r>
      <w:r w:rsidRPr="00C835FE">
        <w:t>.</w:t>
      </w:r>
    </w:p>
    <w:p w14:paraId="75F0C65D" w14:textId="77777777" w:rsidR="00C835FE" w:rsidRPr="00C835FE" w:rsidRDefault="00C835FE" w:rsidP="00C835FE">
      <w:pPr>
        <w:numPr>
          <w:ilvl w:val="0"/>
          <w:numId w:val="2"/>
        </w:numPr>
      </w:pPr>
      <w:r w:rsidRPr="00C835FE">
        <w:rPr>
          <w:b/>
          <w:bCs/>
        </w:rPr>
        <w:t>Nelson</w:t>
      </w:r>
      <w:r w:rsidRPr="00C835FE">
        <w:t xml:space="preserve"> tops this chart, which is consistent with the earlier chart on sales volume.</w:t>
      </w:r>
    </w:p>
    <w:p w14:paraId="30F6CC02" w14:textId="77777777" w:rsidR="00C835FE" w:rsidRPr="00C835FE" w:rsidRDefault="00C835FE" w:rsidP="00C835FE">
      <w:pPr>
        <w:numPr>
          <w:ilvl w:val="0"/>
          <w:numId w:val="2"/>
        </w:numPr>
      </w:pPr>
      <w:proofErr w:type="spellStart"/>
      <w:r w:rsidRPr="00C835FE">
        <w:rPr>
          <w:b/>
          <w:bCs/>
        </w:rPr>
        <w:t>Jellis</w:t>
      </w:r>
      <w:proofErr w:type="spellEnd"/>
      <w:r w:rsidRPr="00C835FE">
        <w:t xml:space="preserve"> follows, but there is a shift here—</w:t>
      </w:r>
      <w:proofErr w:type="spellStart"/>
      <w:r w:rsidRPr="00C835FE">
        <w:rPr>
          <w:b/>
          <w:bCs/>
        </w:rPr>
        <w:t>hockingstuart</w:t>
      </w:r>
      <w:proofErr w:type="spellEnd"/>
      <w:r w:rsidRPr="00C835FE">
        <w:t xml:space="preserve"> appears third by the number of properties sold.</w:t>
      </w:r>
    </w:p>
    <w:p w14:paraId="06FD23B3" w14:textId="1CC9D037" w:rsidR="00C835FE" w:rsidRDefault="00C835FE" w:rsidP="00C835FE">
      <w:pPr>
        <w:numPr>
          <w:ilvl w:val="0"/>
          <w:numId w:val="2"/>
        </w:numPr>
      </w:pPr>
      <w:r w:rsidRPr="00C835FE">
        <w:t xml:space="preserve">This difference may suggest that </w:t>
      </w:r>
      <w:proofErr w:type="spellStart"/>
      <w:r w:rsidRPr="00C835FE">
        <w:t>hockingstuart</w:t>
      </w:r>
      <w:proofErr w:type="spellEnd"/>
      <w:r w:rsidRPr="00C835FE">
        <w:t xml:space="preserve"> sells a large number of properties at lower prices</w:t>
      </w:r>
      <w:r w:rsidR="00F0213A">
        <w:t>.</w:t>
      </w:r>
    </w:p>
    <w:p w14:paraId="3A54BD4A" w14:textId="77777777" w:rsidR="00477723" w:rsidRPr="00C835FE" w:rsidRDefault="00477723" w:rsidP="00477723">
      <w:pPr>
        <w:ind w:left="720"/>
      </w:pPr>
    </w:p>
    <w:p w14:paraId="384F3BA1" w14:textId="7DA4B1CA" w:rsidR="00C835FE" w:rsidRPr="00C835FE" w:rsidRDefault="00C835FE" w:rsidP="00C835FE">
      <w:pPr>
        <w:rPr>
          <w:b/>
          <w:bCs/>
        </w:rPr>
      </w:pPr>
      <w:r w:rsidRPr="00C835FE">
        <w:rPr>
          <w:b/>
          <w:bCs/>
        </w:rPr>
        <w:t>3. Bottom 5 Agents by Total Sales</w:t>
      </w:r>
      <w:r w:rsidR="00477723">
        <w:rPr>
          <w:b/>
          <w:bCs/>
        </w:rPr>
        <w:t xml:space="preserve"> – Bar Chart</w:t>
      </w:r>
    </w:p>
    <w:p w14:paraId="52AF72C4" w14:textId="77777777" w:rsidR="00C835FE" w:rsidRPr="00C835FE" w:rsidRDefault="00C835FE" w:rsidP="00C835FE">
      <w:pPr>
        <w:numPr>
          <w:ilvl w:val="0"/>
          <w:numId w:val="3"/>
        </w:numPr>
      </w:pPr>
      <w:r w:rsidRPr="00C835FE">
        <w:t xml:space="preserve">The chart highlights the </w:t>
      </w:r>
      <w:r w:rsidRPr="00C835FE">
        <w:rPr>
          <w:b/>
          <w:bCs/>
        </w:rPr>
        <w:t>agents with the lowest sales volumes</w:t>
      </w:r>
      <w:r w:rsidRPr="00C835FE">
        <w:t>.</w:t>
      </w:r>
    </w:p>
    <w:p w14:paraId="2FD2BCE5" w14:textId="39E763C9" w:rsidR="00C835FE" w:rsidRPr="00C835FE" w:rsidRDefault="00C835FE" w:rsidP="00C835FE">
      <w:pPr>
        <w:numPr>
          <w:ilvl w:val="0"/>
          <w:numId w:val="3"/>
        </w:numPr>
      </w:pPr>
      <w:r w:rsidRPr="00C835FE">
        <w:rPr>
          <w:b/>
          <w:bCs/>
        </w:rPr>
        <w:t>Rosin</w:t>
      </w:r>
      <w:r w:rsidRPr="00C835FE">
        <w:t xml:space="preserve"> and </w:t>
      </w:r>
      <w:proofErr w:type="spellStart"/>
      <w:r w:rsidRPr="00C835FE">
        <w:rPr>
          <w:b/>
          <w:bCs/>
        </w:rPr>
        <w:t>hockingstuart</w:t>
      </w:r>
      <w:proofErr w:type="spellEnd"/>
      <w:r w:rsidRPr="00C835FE">
        <w:rPr>
          <w:b/>
          <w:bCs/>
        </w:rPr>
        <w:t>/Advantage</w:t>
      </w:r>
      <w:r w:rsidRPr="00C835FE">
        <w:t xml:space="preserve"> are at the bottom</w:t>
      </w:r>
      <w:r w:rsidR="00F0213A">
        <w:t>.</w:t>
      </w:r>
    </w:p>
    <w:p w14:paraId="42A5620D" w14:textId="5F03E3FB" w:rsidR="00C835FE" w:rsidRDefault="00C835FE" w:rsidP="00C835FE">
      <w:pPr>
        <w:numPr>
          <w:ilvl w:val="0"/>
          <w:numId w:val="3"/>
        </w:numPr>
      </w:pPr>
      <w:r w:rsidRPr="00C835FE">
        <w:t>This chart helps identify agents that might have lower-value properties or smaller market presence</w:t>
      </w:r>
      <w:r w:rsidR="00FF46B1">
        <w:t>.</w:t>
      </w:r>
    </w:p>
    <w:p w14:paraId="60A8B313" w14:textId="77777777" w:rsidR="00477723" w:rsidRPr="00C835FE" w:rsidRDefault="00477723" w:rsidP="00477723">
      <w:pPr>
        <w:ind w:left="720"/>
      </w:pPr>
    </w:p>
    <w:p w14:paraId="5DAF63CA" w14:textId="0C05FC8B" w:rsidR="00C835FE" w:rsidRPr="00C835FE" w:rsidRDefault="00C835FE" w:rsidP="00C835FE">
      <w:pPr>
        <w:rPr>
          <w:b/>
          <w:bCs/>
        </w:rPr>
      </w:pPr>
      <w:r w:rsidRPr="00C835FE">
        <w:rPr>
          <w:b/>
          <w:bCs/>
        </w:rPr>
        <w:t>4. Highest Average Sale Price (Top 5 Agents)</w:t>
      </w:r>
      <w:r w:rsidR="00477723">
        <w:rPr>
          <w:b/>
          <w:bCs/>
        </w:rPr>
        <w:t xml:space="preserve">  - Bar Chart</w:t>
      </w:r>
    </w:p>
    <w:p w14:paraId="2C9418C5" w14:textId="77777777" w:rsidR="00C835FE" w:rsidRPr="00C835FE" w:rsidRDefault="00C835FE" w:rsidP="00C835FE">
      <w:pPr>
        <w:numPr>
          <w:ilvl w:val="0"/>
          <w:numId w:val="4"/>
        </w:numPr>
      </w:pPr>
      <w:proofErr w:type="spellStart"/>
      <w:r w:rsidRPr="00C835FE">
        <w:rPr>
          <w:b/>
          <w:bCs/>
        </w:rPr>
        <w:t>Weast</w:t>
      </w:r>
      <w:proofErr w:type="spellEnd"/>
      <w:r w:rsidRPr="00C835FE">
        <w:t xml:space="preserve"> has the highest </w:t>
      </w:r>
      <w:r w:rsidRPr="00C835FE">
        <w:rPr>
          <w:b/>
          <w:bCs/>
        </w:rPr>
        <w:t>average sales price</w:t>
      </w:r>
      <w:r w:rsidRPr="00C835FE">
        <w:t xml:space="preserve"> per property, suggesting a focus on higher-end or luxury properties.</w:t>
      </w:r>
    </w:p>
    <w:p w14:paraId="488715FB" w14:textId="3A7AB9C6" w:rsidR="00C835FE" w:rsidRDefault="00C835FE" w:rsidP="00C835FE">
      <w:pPr>
        <w:numPr>
          <w:ilvl w:val="0"/>
          <w:numId w:val="4"/>
        </w:numPr>
      </w:pPr>
      <w:r w:rsidRPr="00C835FE">
        <w:rPr>
          <w:b/>
          <w:bCs/>
        </w:rPr>
        <w:lastRenderedPageBreak/>
        <w:t>Darras</w:t>
      </w:r>
      <w:r w:rsidRPr="00C835FE">
        <w:t xml:space="preserve">, </w:t>
      </w:r>
      <w:proofErr w:type="spellStart"/>
      <w:r w:rsidRPr="00C835FE">
        <w:rPr>
          <w:b/>
          <w:bCs/>
        </w:rPr>
        <w:t>VicProp</w:t>
      </w:r>
      <w:proofErr w:type="spellEnd"/>
      <w:r w:rsidRPr="00C835FE">
        <w:t xml:space="preserve">, </w:t>
      </w:r>
      <w:r w:rsidRPr="00C835FE">
        <w:rPr>
          <w:b/>
          <w:bCs/>
        </w:rPr>
        <w:t>Sotheby’s</w:t>
      </w:r>
      <w:r w:rsidR="00AA615E">
        <w:rPr>
          <w:b/>
          <w:bCs/>
        </w:rPr>
        <w:t>, and Lucas</w:t>
      </w:r>
      <w:r w:rsidRPr="00C835FE">
        <w:t xml:space="preserve"> are close behind, which aligns with the expectation of these agents targeting premium markets.</w:t>
      </w:r>
    </w:p>
    <w:p w14:paraId="4E4BDE99" w14:textId="77777777" w:rsidR="00477723" w:rsidRPr="00C835FE" w:rsidRDefault="00477723" w:rsidP="00477723">
      <w:pPr>
        <w:ind w:left="720"/>
      </w:pPr>
    </w:p>
    <w:p w14:paraId="538BD99B" w14:textId="3538E94A" w:rsidR="00C835FE" w:rsidRPr="00C835FE" w:rsidRDefault="00C835FE" w:rsidP="00C835FE">
      <w:pPr>
        <w:rPr>
          <w:b/>
          <w:bCs/>
        </w:rPr>
      </w:pPr>
      <w:r w:rsidRPr="00C835FE">
        <w:rPr>
          <w:b/>
          <w:bCs/>
        </w:rPr>
        <w:t>5. House Sold per Year (Percentage)</w:t>
      </w:r>
      <w:r w:rsidR="00477723">
        <w:rPr>
          <w:b/>
          <w:bCs/>
        </w:rPr>
        <w:t xml:space="preserve"> – Pie Chart</w:t>
      </w:r>
    </w:p>
    <w:p w14:paraId="3727FCC8" w14:textId="77777777" w:rsidR="00C835FE" w:rsidRPr="00C835FE" w:rsidRDefault="00C835FE" w:rsidP="00C835FE">
      <w:pPr>
        <w:numPr>
          <w:ilvl w:val="0"/>
          <w:numId w:val="5"/>
        </w:numPr>
      </w:pPr>
      <w:r w:rsidRPr="00C835FE">
        <w:t xml:space="preserve">A pie chart showing the percentage of houses sold in </w:t>
      </w:r>
      <w:r w:rsidRPr="00C835FE">
        <w:rPr>
          <w:b/>
          <w:bCs/>
        </w:rPr>
        <w:t>2016</w:t>
      </w:r>
      <w:r w:rsidRPr="00C835FE">
        <w:t xml:space="preserve"> and </w:t>
      </w:r>
      <w:r w:rsidRPr="00C835FE">
        <w:rPr>
          <w:b/>
          <w:bCs/>
        </w:rPr>
        <w:t>2017</w:t>
      </w:r>
      <w:r w:rsidRPr="00C835FE">
        <w:t>.</w:t>
      </w:r>
    </w:p>
    <w:p w14:paraId="1419520F" w14:textId="77777777" w:rsidR="00C835FE" w:rsidRPr="00C835FE" w:rsidRDefault="00C835FE" w:rsidP="00C835FE">
      <w:pPr>
        <w:numPr>
          <w:ilvl w:val="0"/>
          <w:numId w:val="5"/>
        </w:numPr>
      </w:pPr>
      <w:r w:rsidRPr="00C835FE">
        <w:rPr>
          <w:b/>
          <w:bCs/>
        </w:rPr>
        <w:t>53.4%</w:t>
      </w:r>
      <w:r w:rsidRPr="00C835FE">
        <w:t xml:space="preserve"> of houses were sold in 2017, while </w:t>
      </w:r>
      <w:r w:rsidRPr="00C835FE">
        <w:rPr>
          <w:b/>
          <w:bCs/>
        </w:rPr>
        <w:t>46.6%</w:t>
      </w:r>
      <w:r w:rsidRPr="00C835FE">
        <w:t xml:space="preserve"> were sold in 2016.</w:t>
      </w:r>
    </w:p>
    <w:p w14:paraId="2A6DD547" w14:textId="77777777" w:rsidR="00C835FE" w:rsidRDefault="00C835FE" w:rsidP="00C835FE">
      <w:pPr>
        <w:numPr>
          <w:ilvl w:val="0"/>
          <w:numId w:val="5"/>
        </w:numPr>
      </w:pPr>
      <w:r w:rsidRPr="00C835FE">
        <w:t>This indicates a slightly more active housing market in 2017.</w:t>
      </w:r>
    </w:p>
    <w:p w14:paraId="256B092A" w14:textId="77777777" w:rsidR="00477723" w:rsidRPr="00C835FE" w:rsidRDefault="00477723" w:rsidP="00477723">
      <w:pPr>
        <w:ind w:left="720"/>
      </w:pPr>
    </w:p>
    <w:p w14:paraId="529BD7BD" w14:textId="05711DC8" w:rsidR="00C835FE" w:rsidRPr="00C835FE" w:rsidRDefault="00C835FE" w:rsidP="00C835FE">
      <w:pPr>
        <w:rPr>
          <w:b/>
          <w:bCs/>
        </w:rPr>
      </w:pPr>
      <w:r w:rsidRPr="00C835FE">
        <w:rPr>
          <w:b/>
          <w:bCs/>
        </w:rPr>
        <w:t>6. House Sold per Year with Subcategories (Type)</w:t>
      </w:r>
      <w:r w:rsidR="00477723">
        <w:rPr>
          <w:b/>
          <w:bCs/>
        </w:rPr>
        <w:t xml:space="preserve"> – Pie Chart with sub charts</w:t>
      </w:r>
    </w:p>
    <w:p w14:paraId="3FB04A6C" w14:textId="77777777" w:rsidR="00C835FE" w:rsidRPr="00C835FE" w:rsidRDefault="00C835FE" w:rsidP="00C835FE">
      <w:pPr>
        <w:numPr>
          <w:ilvl w:val="0"/>
          <w:numId w:val="6"/>
        </w:numPr>
      </w:pPr>
      <w:r w:rsidRPr="00C835FE">
        <w:t xml:space="preserve">A detailed pie chart with a breakdown of </w:t>
      </w:r>
      <w:r w:rsidRPr="00C835FE">
        <w:rPr>
          <w:b/>
          <w:bCs/>
        </w:rPr>
        <w:t>property types</w:t>
      </w:r>
      <w:r w:rsidRPr="00C835FE">
        <w:t xml:space="preserve"> sold in 2016 and 2017.</w:t>
      </w:r>
    </w:p>
    <w:p w14:paraId="6923E620" w14:textId="77777777" w:rsidR="00C835FE" w:rsidRPr="00C835FE" w:rsidRDefault="00C835FE" w:rsidP="00C835FE">
      <w:pPr>
        <w:numPr>
          <w:ilvl w:val="0"/>
          <w:numId w:val="6"/>
        </w:numPr>
      </w:pPr>
      <w:r w:rsidRPr="00C835FE">
        <w:t xml:space="preserve">In both years, </w:t>
      </w:r>
      <w:r w:rsidRPr="00C835FE">
        <w:rPr>
          <w:b/>
          <w:bCs/>
        </w:rPr>
        <w:t>houses (h)</w:t>
      </w:r>
      <w:r w:rsidRPr="00C835FE">
        <w:t xml:space="preserve"> make up the majority of sales, followed by </w:t>
      </w:r>
      <w:r w:rsidRPr="00C835FE">
        <w:rPr>
          <w:b/>
          <w:bCs/>
        </w:rPr>
        <w:t>units (u)</w:t>
      </w:r>
      <w:r w:rsidRPr="00C835FE">
        <w:t xml:space="preserve"> and </w:t>
      </w:r>
      <w:r w:rsidRPr="00C835FE">
        <w:rPr>
          <w:b/>
          <w:bCs/>
        </w:rPr>
        <w:t>townhouses (t)</w:t>
      </w:r>
      <w:r w:rsidRPr="00C835FE">
        <w:t>.</w:t>
      </w:r>
    </w:p>
    <w:p w14:paraId="2140521D" w14:textId="77777777" w:rsidR="00C835FE" w:rsidRDefault="00C835FE" w:rsidP="00C835FE">
      <w:pPr>
        <w:numPr>
          <w:ilvl w:val="0"/>
          <w:numId w:val="6"/>
        </w:numPr>
      </w:pPr>
      <w:r w:rsidRPr="00C835FE">
        <w:rPr>
          <w:b/>
          <w:bCs/>
        </w:rPr>
        <w:t>2017</w:t>
      </w:r>
      <w:r w:rsidRPr="00C835FE">
        <w:t xml:space="preserve"> shows a higher percentage of house sales than in 2016, which might suggest increased demand for traditional housing over other types.</w:t>
      </w:r>
    </w:p>
    <w:p w14:paraId="37E0BEFA" w14:textId="77777777" w:rsidR="00477723" w:rsidRPr="00C835FE" w:rsidRDefault="00477723" w:rsidP="00477723">
      <w:pPr>
        <w:ind w:left="720"/>
      </w:pPr>
    </w:p>
    <w:p w14:paraId="3B9AD902" w14:textId="06448625" w:rsidR="00C835FE" w:rsidRPr="00C835FE" w:rsidRDefault="00C835FE" w:rsidP="00C835FE">
      <w:pPr>
        <w:rPr>
          <w:b/>
          <w:bCs/>
        </w:rPr>
      </w:pPr>
      <w:r w:rsidRPr="00C835FE">
        <w:rPr>
          <w:b/>
          <w:bCs/>
        </w:rPr>
        <w:t>7. Properties Sold by Type per Year</w:t>
      </w:r>
      <w:r w:rsidR="00477723">
        <w:rPr>
          <w:b/>
          <w:bCs/>
        </w:rPr>
        <w:t xml:space="preserve"> – Bar Chart</w:t>
      </w:r>
    </w:p>
    <w:p w14:paraId="3E83FD97" w14:textId="77777777" w:rsidR="00C835FE" w:rsidRPr="00C835FE" w:rsidRDefault="00C835FE" w:rsidP="00C835FE">
      <w:pPr>
        <w:numPr>
          <w:ilvl w:val="0"/>
          <w:numId w:val="7"/>
        </w:numPr>
      </w:pPr>
      <w:r w:rsidRPr="00C835FE">
        <w:t xml:space="preserve">A bar chart comparing the number of </w:t>
      </w:r>
      <w:r w:rsidRPr="00C835FE">
        <w:rPr>
          <w:b/>
          <w:bCs/>
        </w:rPr>
        <w:t>houses, units, and townhouses</w:t>
      </w:r>
      <w:r w:rsidRPr="00C835FE">
        <w:t xml:space="preserve"> sold in 2016 and 2017.</w:t>
      </w:r>
    </w:p>
    <w:p w14:paraId="68A457DB" w14:textId="77777777" w:rsidR="00C835FE" w:rsidRDefault="00C835FE" w:rsidP="00C835FE">
      <w:pPr>
        <w:numPr>
          <w:ilvl w:val="0"/>
          <w:numId w:val="7"/>
        </w:numPr>
      </w:pPr>
      <w:r w:rsidRPr="00C835FE">
        <w:rPr>
          <w:b/>
          <w:bCs/>
        </w:rPr>
        <w:t>Houses (h)</w:t>
      </w:r>
      <w:r w:rsidRPr="00C835FE">
        <w:t xml:space="preserve"> dominate in both years, but there’s a significant increase in 2017 compared to 2016.</w:t>
      </w:r>
    </w:p>
    <w:p w14:paraId="2310416D" w14:textId="77777777" w:rsidR="00477723" w:rsidRPr="00C835FE" w:rsidRDefault="00477723" w:rsidP="00477723">
      <w:pPr>
        <w:ind w:left="720"/>
      </w:pPr>
    </w:p>
    <w:p w14:paraId="49E2BE0A" w14:textId="6F8BF791" w:rsidR="00C835FE" w:rsidRPr="00C835FE" w:rsidRDefault="00C835FE" w:rsidP="00C835FE">
      <w:pPr>
        <w:rPr>
          <w:b/>
          <w:bCs/>
        </w:rPr>
      </w:pPr>
      <w:r w:rsidRPr="00C835FE">
        <w:rPr>
          <w:b/>
          <w:bCs/>
        </w:rPr>
        <w:t>8. House Distribution by Region</w:t>
      </w:r>
      <w:r w:rsidR="00477723">
        <w:rPr>
          <w:b/>
          <w:bCs/>
        </w:rPr>
        <w:t xml:space="preserve"> - Boxplot</w:t>
      </w:r>
    </w:p>
    <w:p w14:paraId="1AA164B8" w14:textId="446C5295" w:rsidR="00C835FE" w:rsidRPr="00C835FE" w:rsidRDefault="00C835FE" w:rsidP="00C835FE">
      <w:pPr>
        <w:numPr>
          <w:ilvl w:val="0"/>
          <w:numId w:val="8"/>
        </w:numPr>
      </w:pPr>
      <w:r w:rsidRPr="00C835FE">
        <w:t xml:space="preserve">This boxplot shows the </w:t>
      </w:r>
      <w:r w:rsidRPr="00C835FE">
        <w:rPr>
          <w:b/>
          <w:bCs/>
        </w:rPr>
        <w:t>distribution of properties by distance from the Central Business District (CBD)</w:t>
      </w:r>
      <w:r w:rsidRPr="00C835FE">
        <w:t xml:space="preserve"> for </w:t>
      </w:r>
      <w:r w:rsidR="00477723">
        <w:t>all 8</w:t>
      </w:r>
      <w:r w:rsidRPr="00C835FE">
        <w:t xml:space="preserve"> regions.</w:t>
      </w:r>
    </w:p>
    <w:p w14:paraId="3CA1AD94" w14:textId="77777777" w:rsidR="00C835FE" w:rsidRPr="00C835FE" w:rsidRDefault="00C835FE" w:rsidP="00C835FE">
      <w:pPr>
        <w:numPr>
          <w:ilvl w:val="0"/>
          <w:numId w:val="8"/>
        </w:numPr>
      </w:pPr>
      <w:r w:rsidRPr="00C835FE">
        <w:t xml:space="preserve">Properties in the </w:t>
      </w:r>
      <w:r w:rsidRPr="00C835FE">
        <w:rPr>
          <w:b/>
          <w:bCs/>
        </w:rPr>
        <w:t>Western Metropolitan</w:t>
      </w:r>
      <w:r w:rsidRPr="00C835FE">
        <w:t xml:space="preserve"> and </w:t>
      </w:r>
      <w:r w:rsidRPr="00C835FE">
        <w:rPr>
          <w:b/>
          <w:bCs/>
        </w:rPr>
        <w:t>Eastern Metropolitan</w:t>
      </w:r>
      <w:r w:rsidRPr="00C835FE">
        <w:t xml:space="preserve"> regions are, on average, closer to the city </w:t>
      </w:r>
      <w:proofErr w:type="spellStart"/>
      <w:r w:rsidRPr="00C835FE">
        <w:t>center</w:t>
      </w:r>
      <w:proofErr w:type="spellEnd"/>
      <w:r w:rsidRPr="00C835FE">
        <w:t>.</w:t>
      </w:r>
    </w:p>
    <w:p w14:paraId="218CCC3A" w14:textId="0DB6C85B" w:rsidR="00C835FE" w:rsidRPr="00C835FE" w:rsidRDefault="00C835FE" w:rsidP="00C835FE">
      <w:pPr>
        <w:numPr>
          <w:ilvl w:val="0"/>
          <w:numId w:val="8"/>
        </w:numPr>
      </w:pPr>
      <w:r w:rsidRPr="00C835FE">
        <w:rPr>
          <w:b/>
          <w:bCs/>
        </w:rPr>
        <w:t>Eastern Victoria</w:t>
      </w:r>
      <w:r w:rsidRPr="00C835FE">
        <w:t xml:space="preserve"> and </w:t>
      </w:r>
      <w:r w:rsidRPr="00C835FE">
        <w:rPr>
          <w:b/>
          <w:bCs/>
        </w:rPr>
        <w:t>Northern Victoria</w:t>
      </w:r>
      <w:r w:rsidRPr="00C835FE">
        <w:t xml:space="preserve"> regions have properties farther from the CBD</w:t>
      </w:r>
      <w:r w:rsidR="00477723">
        <w:t>.</w:t>
      </w:r>
    </w:p>
    <w:p w14:paraId="31838F29" w14:textId="67523EE8" w:rsidR="00C835FE" w:rsidRPr="00C835FE" w:rsidRDefault="00C835FE" w:rsidP="00C835FE">
      <w:pPr>
        <w:rPr>
          <w:b/>
          <w:bCs/>
        </w:rPr>
      </w:pPr>
      <w:r w:rsidRPr="00C835FE">
        <w:rPr>
          <w:b/>
          <w:bCs/>
        </w:rPr>
        <w:lastRenderedPageBreak/>
        <w:t>9. House Price Distribution by Region</w:t>
      </w:r>
      <w:r w:rsidR="00477723">
        <w:rPr>
          <w:b/>
          <w:bCs/>
        </w:rPr>
        <w:t xml:space="preserve"> - Boxplot</w:t>
      </w:r>
    </w:p>
    <w:p w14:paraId="1F17D351" w14:textId="77777777" w:rsidR="00C835FE" w:rsidRPr="00C835FE" w:rsidRDefault="00C835FE" w:rsidP="00C835FE">
      <w:pPr>
        <w:numPr>
          <w:ilvl w:val="0"/>
          <w:numId w:val="9"/>
        </w:numPr>
      </w:pPr>
      <w:r w:rsidRPr="00C835FE">
        <w:t xml:space="preserve">The boxplot shows the </w:t>
      </w:r>
      <w:r w:rsidRPr="00C835FE">
        <w:rPr>
          <w:b/>
          <w:bCs/>
        </w:rPr>
        <w:t>distribution of house prices by region</w:t>
      </w:r>
      <w:r w:rsidRPr="00C835FE">
        <w:t>.</w:t>
      </w:r>
    </w:p>
    <w:p w14:paraId="70127F79" w14:textId="77777777" w:rsidR="00C835FE" w:rsidRPr="00C835FE" w:rsidRDefault="00C835FE" w:rsidP="00C835FE">
      <w:pPr>
        <w:numPr>
          <w:ilvl w:val="0"/>
          <w:numId w:val="9"/>
        </w:numPr>
      </w:pPr>
      <w:r w:rsidRPr="00C835FE">
        <w:rPr>
          <w:b/>
          <w:bCs/>
        </w:rPr>
        <w:t>Southern Metropolitan</w:t>
      </w:r>
      <w:r w:rsidRPr="00C835FE">
        <w:t xml:space="preserve"> region has the highest median house prices, with many outliers in higher price ranges.</w:t>
      </w:r>
    </w:p>
    <w:p w14:paraId="10B135E1" w14:textId="77777777" w:rsidR="00C835FE" w:rsidRPr="00C835FE" w:rsidRDefault="00C835FE" w:rsidP="00C835FE">
      <w:pPr>
        <w:numPr>
          <w:ilvl w:val="0"/>
          <w:numId w:val="9"/>
        </w:numPr>
      </w:pPr>
      <w:r w:rsidRPr="00C835FE">
        <w:rPr>
          <w:b/>
          <w:bCs/>
        </w:rPr>
        <w:t>Northern Metropolitan</w:t>
      </w:r>
      <w:r w:rsidRPr="00C835FE">
        <w:t xml:space="preserve"> and </w:t>
      </w:r>
      <w:r w:rsidRPr="00C835FE">
        <w:rPr>
          <w:b/>
          <w:bCs/>
        </w:rPr>
        <w:t>Western Metropolitan</w:t>
      </w:r>
      <w:r w:rsidRPr="00C835FE">
        <w:t xml:space="preserve"> also have higher price ranges compared to regions like </w:t>
      </w:r>
      <w:r w:rsidRPr="00C835FE">
        <w:rPr>
          <w:b/>
          <w:bCs/>
        </w:rPr>
        <w:t>Eastern Victoria</w:t>
      </w:r>
      <w:r w:rsidRPr="00C835FE">
        <w:t xml:space="preserve"> and </w:t>
      </w:r>
      <w:r w:rsidRPr="00C835FE">
        <w:rPr>
          <w:b/>
          <w:bCs/>
        </w:rPr>
        <w:t>Western Victoria</w:t>
      </w:r>
      <w:r w:rsidRPr="00C835FE">
        <w:t>, where house prices are generally lower.</w:t>
      </w:r>
    </w:p>
    <w:p w14:paraId="796CA205" w14:textId="77777777" w:rsidR="00C835FE" w:rsidRDefault="00C835FE" w:rsidP="00C835FE">
      <w:pPr>
        <w:numPr>
          <w:ilvl w:val="0"/>
          <w:numId w:val="9"/>
        </w:numPr>
      </w:pPr>
      <w:r w:rsidRPr="00C835FE">
        <w:t>This suggests that regions closer to the CBD tend to have higher property values.</w:t>
      </w:r>
    </w:p>
    <w:p w14:paraId="4E1137DE" w14:textId="77777777" w:rsidR="00477723" w:rsidRPr="00C835FE" w:rsidRDefault="00477723" w:rsidP="00477723">
      <w:pPr>
        <w:ind w:left="720"/>
      </w:pPr>
    </w:p>
    <w:p w14:paraId="57909D3D" w14:textId="6C3E5270" w:rsidR="00C835FE" w:rsidRPr="00C835FE" w:rsidRDefault="00C835FE" w:rsidP="00C835FE">
      <w:pPr>
        <w:rPr>
          <w:b/>
          <w:bCs/>
        </w:rPr>
      </w:pPr>
      <w:r w:rsidRPr="00C835FE">
        <w:rPr>
          <w:b/>
          <w:bCs/>
        </w:rPr>
        <w:t>10. Price vs Distance from the CBD</w:t>
      </w:r>
      <w:r w:rsidR="00477723">
        <w:rPr>
          <w:b/>
          <w:bCs/>
        </w:rPr>
        <w:t xml:space="preserve"> – Scatter Plot</w:t>
      </w:r>
    </w:p>
    <w:p w14:paraId="61ED1DED" w14:textId="77777777" w:rsidR="00C835FE" w:rsidRPr="00C835FE" w:rsidRDefault="00C835FE" w:rsidP="00C835FE">
      <w:pPr>
        <w:numPr>
          <w:ilvl w:val="0"/>
          <w:numId w:val="10"/>
        </w:numPr>
      </w:pPr>
      <w:r w:rsidRPr="00C835FE">
        <w:t xml:space="preserve">A scatter plot showing the </w:t>
      </w:r>
      <w:r w:rsidRPr="00C835FE">
        <w:rPr>
          <w:b/>
          <w:bCs/>
        </w:rPr>
        <w:t>relationship between house prices and distance from the CBD</w:t>
      </w:r>
      <w:r w:rsidRPr="00C835FE">
        <w:t>.</w:t>
      </w:r>
    </w:p>
    <w:p w14:paraId="60A1F519" w14:textId="77777777" w:rsidR="00C835FE" w:rsidRPr="00C835FE" w:rsidRDefault="00C835FE" w:rsidP="00C835FE">
      <w:pPr>
        <w:numPr>
          <w:ilvl w:val="0"/>
          <w:numId w:val="10"/>
        </w:numPr>
      </w:pPr>
      <w:r w:rsidRPr="00C835FE">
        <w:t xml:space="preserve">There is a clear trend: </w:t>
      </w:r>
      <w:r w:rsidRPr="00C835FE">
        <w:rPr>
          <w:b/>
          <w:bCs/>
        </w:rPr>
        <w:t>houses closer to the CBD</w:t>
      </w:r>
      <w:r w:rsidRPr="00C835FE">
        <w:t xml:space="preserve"> tend to have </w:t>
      </w:r>
      <w:r w:rsidRPr="00C835FE">
        <w:rPr>
          <w:b/>
          <w:bCs/>
        </w:rPr>
        <w:t>higher prices</w:t>
      </w:r>
      <w:r w:rsidRPr="00C835FE">
        <w:t>, with a significant number of high-priced properties within a 10km radius.</w:t>
      </w:r>
    </w:p>
    <w:p w14:paraId="40449E6B" w14:textId="5B40EEAE" w:rsidR="00C835FE" w:rsidRDefault="00C835FE" w:rsidP="00C835FE">
      <w:pPr>
        <w:numPr>
          <w:ilvl w:val="0"/>
          <w:numId w:val="10"/>
        </w:numPr>
      </w:pPr>
      <w:r w:rsidRPr="00C835FE">
        <w:t>As the distance from the CBD increases, house prices generally decrease</w:t>
      </w:r>
      <w:r w:rsidR="00477723">
        <w:t>.</w:t>
      </w:r>
    </w:p>
    <w:p w14:paraId="0CA4F7F6" w14:textId="77777777" w:rsidR="00477723" w:rsidRPr="00C835FE" w:rsidRDefault="00477723" w:rsidP="00477723">
      <w:pPr>
        <w:ind w:left="720"/>
      </w:pPr>
    </w:p>
    <w:p w14:paraId="237E3CA6" w14:textId="77777777" w:rsidR="00C835FE" w:rsidRPr="00C835FE" w:rsidRDefault="00C835FE" w:rsidP="00C835FE">
      <w:pPr>
        <w:rPr>
          <w:b/>
          <w:bCs/>
        </w:rPr>
      </w:pPr>
      <w:r w:rsidRPr="00C835FE">
        <w:rPr>
          <w:b/>
          <w:bCs/>
        </w:rPr>
        <w:t>Summary of Key Insights:</w:t>
      </w:r>
    </w:p>
    <w:p w14:paraId="3CE9749C" w14:textId="4A6408BD" w:rsidR="00C835FE" w:rsidRPr="00C835FE" w:rsidRDefault="00C835FE" w:rsidP="00C835FE">
      <w:pPr>
        <w:numPr>
          <w:ilvl w:val="0"/>
          <w:numId w:val="11"/>
        </w:numPr>
      </w:pPr>
      <w:r w:rsidRPr="00C835FE">
        <w:rPr>
          <w:b/>
          <w:bCs/>
        </w:rPr>
        <w:t>Agent Performance</w:t>
      </w:r>
      <w:r w:rsidRPr="00C835FE">
        <w:t xml:space="preserve">: </w:t>
      </w:r>
      <w:proofErr w:type="spellStart"/>
      <w:r w:rsidRPr="00C835FE">
        <w:t>Jellis</w:t>
      </w:r>
      <w:proofErr w:type="spellEnd"/>
      <w:r w:rsidRPr="00C835FE">
        <w:t xml:space="preserve"> and Nelson are the leading agents in terms of total sales and houses sold. </w:t>
      </w:r>
    </w:p>
    <w:p w14:paraId="632B6960" w14:textId="77777777" w:rsidR="00C835FE" w:rsidRPr="00C835FE" w:rsidRDefault="00C835FE" w:rsidP="00C835FE">
      <w:pPr>
        <w:numPr>
          <w:ilvl w:val="0"/>
          <w:numId w:val="11"/>
        </w:numPr>
      </w:pPr>
      <w:r w:rsidRPr="00C835FE">
        <w:rPr>
          <w:b/>
          <w:bCs/>
        </w:rPr>
        <w:t>Luxury Market</w:t>
      </w:r>
      <w:r w:rsidRPr="00C835FE">
        <w:t xml:space="preserve">: Agents like </w:t>
      </w:r>
      <w:proofErr w:type="spellStart"/>
      <w:r w:rsidRPr="00C835FE">
        <w:t>Weast</w:t>
      </w:r>
      <w:proofErr w:type="spellEnd"/>
      <w:r w:rsidRPr="00C835FE">
        <w:t xml:space="preserve"> and Darras dominate the luxury market, with the highest average property prices.</w:t>
      </w:r>
    </w:p>
    <w:p w14:paraId="13766683" w14:textId="77777777" w:rsidR="00C835FE" w:rsidRPr="00C835FE" w:rsidRDefault="00C835FE" w:rsidP="00C835FE">
      <w:pPr>
        <w:numPr>
          <w:ilvl w:val="0"/>
          <w:numId w:val="11"/>
        </w:numPr>
      </w:pPr>
      <w:r w:rsidRPr="00C835FE">
        <w:rPr>
          <w:b/>
          <w:bCs/>
        </w:rPr>
        <w:t>Property Type</w:t>
      </w:r>
      <w:r w:rsidRPr="00C835FE">
        <w:t>: Houses remain the most popular property type, with increasing demand in 2017 compared to 2016.</w:t>
      </w:r>
    </w:p>
    <w:p w14:paraId="404772E0" w14:textId="77777777" w:rsidR="00C835FE" w:rsidRPr="00C835FE" w:rsidRDefault="00C835FE" w:rsidP="00C835FE">
      <w:pPr>
        <w:numPr>
          <w:ilvl w:val="0"/>
          <w:numId w:val="11"/>
        </w:numPr>
      </w:pPr>
      <w:r w:rsidRPr="00C835FE">
        <w:rPr>
          <w:b/>
          <w:bCs/>
        </w:rPr>
        <w:t>Regional Differences</w:t>
      </w:r>
      <w:r w:rsidRPr="00C835FE">
        <w:t xml:space="preserve">: There is a clear difference in property values by region, with Southern Metropolitan being the most expensive and regions farther from the city </w:t>
      </w:r>
      <w:proofErr w:type="spellStart"/>
      <w:r w:rsidRPr="00C835FE">
        <w:t>center</w:t>
      </w:r>
      <w:proofErr w:type="spellEnd"/>
      <w:r w:rsidRPr="00C835FE">
        <w:t>, like Northern and Eastern Victoria, having lower prices.</w:t>
      </w:r>
    </w:p>
    <w:p w14:paraId="100ED990" w14:textId="5073DFA5" w:rsidR="00C835FE" w:rsidRPr="00C835FE" w:rsidRDefault="00C835FE" w:rsidP="00C835FE">
      <w:pPr>
        <w:numPr>
          <w:ilvl w:val="0"/>
          <w:numId w:val="11"/>
        </w:numPr>
      </w:pPr>
      <w:r w:rsidRPr="00C835FE">
        <w:rPr>
          <w:b/>
          <w:bCs/>
        </w:rPr>
        <w:t>Distance and Price Correlation</w:t>
      </w:r>
      <w:r w:rsidRPr="00C835FE">
        <w:t>: Properties closer to the CBD command higher prices</w:t>
      </w:r>
      <w:r w:rsidR="00C40286">
        <w:t>.</w:t>
      </w:r>
    </w:p>
    <w:p w14:paraId="657E6355" w14:textId="77777777" w:rsidR="00765245" w:rsidRDefault="00765245"/>
    <w:sectPr w:rsidR="00765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27CCE"/>
    <w:multiLevelType w:val="multilevel"/>
    <w:tmpl w:val="679C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90D60"/>
    <w:multiLevelType w:val="multilevel"/>
    <w:tmpl w:val="8B7E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F655A"/>
    <w:multiLevelType w:val="multilevel"/>
    <w:tmpl w:val="DE1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71ECB"/>
    <w:multiLevelType w:val="multilevel"/>
    <w:tmpl w:val="354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5117A"/>
    <w:multiLevelType w:val="multilevel"/>
    <w:tmpl w:val="5C9E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61D43"/>
    <w:multiLevelType w:val="multilevel"/>
    <w:tmpl w:val="8E0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0497B"/>
    <w:multiLevelType w:val="multilevel"/>
    <w:tmpl w:val="6FB2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37B62"/>
    <w:multiLevelType w:val="multilevel"/>
    <w:tmpl w:val="79B6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C59FA"/>
    <w:multiLevelType w:val="multilevel"/>
    <w:tmpl w:val="384A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25605"/>
    <w:multiLevelType w:val="multilevel"/>
    <w:tmpl w:val="8504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55DFE"/>
    <w:multiLevelType w:val="multilevel"/>
    <w:tmpl w:val="5AA4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71592">
    <w:abstractNumId w:val="1"/>
  </w:num>
  <w:num w:numId="2" w16cid:durableId="345375561">
    <w:abstractNumId w:val="9"/>
  </w:num>
  <w:num w:numId="3" w16cid:durableId="778834352">
    <w:abstractNumId w:val="6"/>
  </w:num>
  <w:num w:numId="4" w16cid:durableId="935751550">
    <w:abstractNumId w:val="3"/>
  </w:num>
  <w:num w:numId="5" w16cid:durableId="1249802040">
    <w:abstractNumId w:val="0"/>
  </w:num>
  <w:num w:numId="6" w16cid:durableId="1640839526">
    <w:abstractNumId w:val="8"/>
  </w:num>
  <w:num w:numId="7" w16cid:durableId="1129855315">
    <w:abstractNumId w:val="5"/>
  </w:num>
  <w:num w:numId="8" w16cid:durableId="424766662">
    <w:abstractNumId w:val="10"/>
  </w:num>
  <w:num w:numId="9" w16cid:durableId="760370205">
    <w:abstractNumId w:val="4"/>
  </w:num>
  <w:num w:numId="10" w16cid:durableId="236475666">
    <w:abstractNumId w:val="2"/>
  </w:num>
  <w:num w:numId="11" w16cid:durableId="13888422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FE"/>
    <w:rsid w:val="00307474"/>
    <w:rsid w:val="00477723"/>
    <w:rsid w:val="006F3B42"/>
    <w:rsid w:val="00765245"/>
    <w:rsid w:val="00AA615E"/>
    <w:rsid w:val="00AD1786"/>
    <w:rsid w:val="00C40286"/>
    <w:rsid w:val="00C835FE"/>
    <w:rsid w:val="00F0213A"/>
    <w:rsid w:val="00FD35ED"/>
    <w:rsid w:val="00FF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3B95A"/>
  <w15:chartTrackingRefBased/>
  <w15:docId w15:val="{4460E273-316B-644D-8325-13B2E45D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Natalia</dc:creator>
  <cp:keywords/>
  <dc:description/>
  <cp:lastModifiedBy>Gita Natalia</cp:lastModifiedBy>
  <cp:revision>2</cp:revision>
  <dcterms:created xsi:type="dcterms:W3CDTF">2024-10-23T20:20:00Z</dcterms:created>
  <dcterms:modified xsi:type="dcterms:W3CDTF">2024-10-23T20:20:00Z</dcterms:modified>
</cp:coreProperties>
</file>