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field report</w:t>
      </w:r>
    </w:p>
    <w:p>
      <w:r>
        <w:t xml:space="preserve">The demo route held up. </w:t>
      </w:r>
      <w:r>
        <w:rPr>
          <w:b/>
        </w:rPr>
        <w:t>Twelve visits</w:t>
      </w:r>
      <w:r>
        <w:t xml:space="preserve"> and </w:t>
      </w:r>
      <w:r>
        <w:rPr>
          <w:i/>
        </w:rPr>
        <w:t>three handoffs</w:t>
      </w:r>
      <w:r>
        <w:t xml:space="preserve"> were logged. See the </w:t>
      </w:r>
      <w:hyperlink r:id="rId9">
        <w:r>
          <w:rPr>
            <w:color w:val="0563C1"/>
            <w:u w:val="single"/>
          </w:rPr>
          <w:t>field guide</w:t>
        </w:r>
      </w:hyperlink>
      <w:r>
        <w:t xml:space="preserve"> for the routine.</w:t>
      </w:r>
    </w:p>
    <w:p>
      <w:pPr>
        <w:pStyle w:val="Heading2"/>
      </w:pPr>
      <w:r>
        <w:t>What changed</w:t>
      </w:r>
    </w:p>
    <w:p>
      <w:pPr>
        <w:pStyle w:val="ListBullet"/>
      </w:pPr>
      <w:r>
        <w:t>Retry the demo route early; the north gate opens at 8.</w:t>
      </w:r>
    </w:p>
    <w:p>
      <w:pPr>
        <w:pStyle w:val="ListBullet"/>
      </w:pPr>
      <w:r>
        <w:t>Send the revised deck before Friday.</w:t>
      </w:r>
    </w:p>
    <w:p>
      <w:pPr>
        <w:pStyle w:val="ListNumber"/>
      </w:pPr>
      <w:r>
        <w:t>Check the mobile layout on the dispatch page.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>
              <w:t>Visits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Northwind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Dana</w:t>
            </w:r>
          </w:p>
        </w:tc>
      </w:tr>
      <w:tr>
        <w:tc>
          <w:tcPr>
            <w:tcW w:type="dxa" w:w="2880"/>
          </w:tcPr>
          <w:p>
            <w:r>
              <w:t>Contoso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Ravi</w:t>
            </w:r>
          </w:p>
        </w:tc>
      </w:tr>
    </w:tbl>
    <w:p>
      <w:r>
        <w:t>Route map for the week: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field-guide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Field Report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