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tbl>
      <w:tblPr>
        <w:tblW w:w="12240" w:type="dxa"/>
        <w:jc w:val="start"/>
        <w:tblInd w:w="-1425" w:type="dxa"/>
        <w:tblLayout w:type="fixed"/>
        <w:tblCellMar>
          <w:top w:w="0" w:type="dxa"/>
          <w:start w:w="15" w:type="dxa"/>
          <w:bottom w:w="0" w:type="dxa"/>
          <w:end w:w="0" w:type="dxa"/>
        </w:tblCellMar>
      </w:tblPr>
      <w:tblGrid>
        <w:gridCol w:w="12240"/>
      </w:tblGrid>
      <w:tr>
        <w:trPr>
          <w:trHeight w:val="795" w:hRule="atLeast"/>
        </w:trPr>
        <w:tc>
          <w:tcPr>
            <w:tcW w:w="12240" w:type="dxa"/>
            <w:tcBorders>
              <w:top w:val="single" w:sz="12" w:space="0" w:color="1A4480"/>
            </w:tcBorders>
            <w:vAlign w:val="center"/>
          </w:tcPr>
          <w:p>
            <w:pPr>
              <w:pStyle w:val="Normal"/>
              <w:widowControl w:val="false"/>
              <w:bidi w:val="0"/>
              <w:jc w:val="start"/>
              <w:rPr>
                <w:rFonts w:ascii="Arial" w:hAnsi="Arial" w:cs="Arial"/>
              </w:rPr>
            </w:pPr>
            <w:r>
              <w:rPr>
                <w:rFonts w:cs="Arial" w:ascii="Arial" w:hAnsi="Arial"/>
              </w:rPr>
            </w:r>
          </w:p>
        </w:tc>
      </w:tr>
      <w:tr>
        <w:trPr>
          <w:trHeight w:val="1686" w:hRule="atLeast"/>
        </w:trPr>
        <w:tc>
          <w:tcPr>
            <w:tcW w:w="12240" w:type="dxa"/>
            <w:tcBorders/>
            <w:vAlign w:val="center"/>
          </w:tcPr>
          <w:p>
            <w:pPr>
              <w:pStyle w:val="Title"/>
              <w:widowControl w:val="false"/>
              <w:bidi w:val="0"/>
              <w:spacing w:before="0" w:after="600"/>
              <w:rPr/>
            </w:pPr>
            <w:r>
              <w:rPr/>
              <w:fldChar w:fldCharType="begin"/>
            </w:r>
            <w:r>
              <w:rPr/>
              <w:instrText xml:space="preserve"> FILLIN ""</w:instrText>
            </w:r>
            <w:r>
              <w:rPr/>
              <w:fldChar w:fldCharType="separate"/>
            </w:r>
            <w:r>
              <w:rPr/>
              <w:t>FedRAMP® (High System Security Plan (SSP)</w:t>
            </w:r>
            <w:r>
              <w:rPr/>
              <w:fldChar w:fldCharType="end"/>
            </w:r>
            <w:r>
              <w:rPr>
                <w:rFonts w:cs="Arial" w:ascii="Arial" w:hAnsi="Arial"/>
              </w:rPr>
              <w:t xml:space="preserve"> </w:t>
            </w:r>
          </w:p>
          <w:p>
            <w:pPr>
              <w:pStyle w:val="Subtitle"/>
              <w:widowControl w:val="false"/>
              <w:bidi w:val="0"/>
              <w:spacing w:before="360" w:after="360"/>
              <w:rPr/>
            </w:pPr>
            <w:bookmarkStart w:id="0" w:name="_heading=h.3znysh7"/>
            <w:bookmarkEnd w:id="0"/>
            <w:r>
              <w:rPr>
                <w:rFonts w:cs="Arial" w:ascii="Arial" w:hAnsi="Arial"/>
              </w:rPr>
              <w:t xml:space="preserve">for </w:t>
            </w:r>
            <w:bookmarkStart w:id="1" w:name="_heading=h.bsn8vq68jibw"/>
            <w:r>
              <w:rPr/>
              <w:fldChar w:fldCharType="begin"/>
            </w:r>
            <w:r>
              <w:rPr/>
              <w:instrText xml:space="preserve"> FILLIN ""</w:instrText>
            </w:r>
            <w:r>
              <w:rPr/>
              <w:fldChar w:fldCharType="separate"/>
            </w:r>
            <w:r>
              <w:rPr/>
              <w:t>Important HR System (IHRS)</w:t>
            </w:r>
            <w:r>
              <w:rPr/>
              <w:fldChar w:fldCharType="end"/>
            </w:r>
            <w:bookmarkEnd w:id="1"/>
          </w:p>
          <w:p>
            <w:pPr>
              <w:pStyle w:val="Subtitle"/>
              <w:widowControl w:val="false"/>
              <w:bidi w:val="0"/>
              <w:spacing w:before="0" w:after="1120"/>
              <w:rPr/>
            </w:pPr>
            <w:r>
              <w:rPr/>
              <w:t>John Smit</w:t>
            </w:r>
            <w:bookmarkStart w:id="2" w:name="_heading=h.2et92p0"/>
            <w:r>
              <w:rPr/>
              <w:t>h</w:t>
            </w:r>
            <w:bookmarkEnd w:id="2"/>
          </w:p>
        </w:tc>
      </w:tr>
    </w:tbl>
    <w:p>
      <w:pPr>
        <w:pStyle w:val="Normal"/>
        <w:bidi w:val="0"/>
        <w:jc w:val="start"/>
        <w:rPr>
          <w:rFonts w:ascii="Arial" w:hAnsi="Arial" w:cs="Arial"/>
          <w:b/>
          <w:bCs/>
        </w:rPr>
      </w:pPr>
      <w:r>
        <w:rPr>
          <w:rFonts w:cs="Arial" w:ascii="Arial" w:hAnsi="Arial"/>
          <w:b/>
          <w:bCs/>
        </w:rPr>
        <w:t>Cloud Service Provider (CSP) Signatures</w:t>
      </w:r>
    </w:p>
    <w:p>
      <w:pPr>
        <w:pStyle w:val="Normal"/>
        <w:bidi w:val="0"/>
        <w:jc w:val="start"/>
        <w:rPr>
          <w:rFonts w:ascii="Arial" w:hAnsi="Arial" w:cs="Arial"/>
        </w:rPr>
      </w:pPr>
      <w:r>
        <w:rPr>
          <w:rFonts w:cs="Arial" w:ascii="Arial" w:hAnsi="Arial"/>
        </w:rPr>
        <w:t xml:space="preserve">By signing this System Security Plan (SSP), we agree that it is complete and is the current version to be used for the security assessment. </w:t>
      </w:r>
    </w:p>
    <w:p>
      <w:pPr>
        <w:pStyle w:val="Normal"/>
        <w:bidi w:val="0"/>
        <w:jc w:val="start"/>
        <w:rPr>
          <w:rFonts w:ascii="Arial" w:hAnsi="Arial" w:cs="Arial"/>
        </w:rPr>
      </w:pPr>
      <w:r>
        <w:rPr>
          <w:rFonts w:cs="Arial" w:ascii="Arial" w:hAnsi="Arial"/>
        </w:rPr>
      </w:r>
    </w:p>
    <w:tbl>
      <w:tblPr>
        <w:tblW w:w="5000" w:type="pct"/>
        <w:jc w:val="center"/>
        <w:tblInd w:w="0" w:type="dxa"/>
        <w:tblLayout w:type="fixed"/>
        <w:tblCellMar>
          <w:top w:w="0" w:type="dxa"/>
          <w:start w:w="108" w:type="dxa"/>
          <w:bottom w:w="0" w:type="dxa"/>
          <w:end w:w="108" w:type="dxa"/>
        </w:tblCellMar>
      </w:tblPr>
      <w:tblGrid>
        <w:gridCol w:w="1105"/>
        <w:gridCol w:w="2239"/>
        <w:gridCol w:w="3692"/>
        <w:gridCol w:w="891"/>
        <w:gridCol w:w="2045"/>
      </w:tblGrid>
      <w:tr>
        <w:trPr>
          <w:trHeight w:val="683" w:hRule="atLeast"/>
        </w:trPr>
        <w:tc>
          <w:tcPr>
            <w:tcW w:w="9972" w:type="dxa"/>
            <w:gridSpan w:val="5"/>
            <w:tcBorders>
              <w:top w:val="single" w:sz="4" w:space="0" w:color="000000"/>
              <w:start w:val="single" w:sz="4" w:space="0" w:color="000000"/>
              <w:bottom w:val="single" w:sz="4" w:space="0" w:color="000000"/>
              <w:end w:val="single" w:sz="4" w:space="0" w:color="000000"/>
            </w:tcBorders>
          </w:tcPr>
          <w:p>
            <w:pPr>
              <w:pStyle w:val="Tabletextlight"/>
              <w:widowControl w:val="false"/>
              <w:bidi w:val="0"/>
              <w:spacing w:before="60" w:after="60"/>
              <w:jc w:val="start"/>
              <w:rPr>
                <w:rFonts w:cs="Arial"/>
              </w:rPr>
            </w:pPr>
            <w:r>
              <w:rPr>
                <w:rFonts w:cs="Arial"/>
              </w:rPr>
              <w:t>&lt;Sign Here&gt;</w:t>
            </w:r>
          </w:p>
        </w:tc>
      </w:tr>
      <w:tr>
        <w:trPr>
          <w:trHeight w:val="576" w:hRule="atLeast"/>
        </w:trPr>
        <w:tc>
          <w:tcPr>
            <w:tcW w:w="1105" w:type="dxa"/>
            <w:tcBorders>
              <w:top w:val="single" w:sz="4" w:space="0" w:color="000000"/>
              <w:start w:val="single" w:sz="4" w:space="0" w:color="000000"/>
            </w:tcBorders>
            <w:vAlign w:val="center"/>
          </w:tcPr>
          <w:p>
            <w:pPr>
              <w:pStyle w:val="Normal"/>
              <w:widowControl w:val="false"/>
              <w:bidi w:val="0"/>
              <w:spacing w:before="60" w:after="60"/>
              <w:jc w:val="start"/>
              <w:rPr>
                <w:rFonts w:ascii="Arial" w:hAnsi="Arial" w:cs="Arial"/>
              </w:rPr>
            </w:pPr>
            <w:r>
              <w:rPr>
                <w:rFonts w:cs="Arial" w:ascii="Arial" w:hAnsi="Arial"/>
              </w:rPr>
              <w:t>Name</w:t>
            </w:r>
          </w:p>
        </w:tc>
        <w:tc>
          <w:tcPr>
            <w:tcW w:w="5931" w:type="dxa"/>
            <w:gridSpan w:val="2"/>
            <w:tcBorders>
              <w:top w:val="single" w:sz="4" w:space="0" w:color="000000"/>
              <w:bottom w:val="single" w:sz="4" w:space="0" w:color="000000"/>
            </w:tcBorders>
            <w:vAlign w:val="center"/>
          </w:tcPr>
          <w:p>
            <w:pPr>
              <w:pStyle w:val="Tabletextlight"/>
              <w:widowControl w:val="false"/>
              <w:bidi w:val="0"/>
              <w:spacing w:before="60" w:after="60"/>
              <w:jc w:val="start"/>
              <w:rPr>
                <w:rFonts w:cs="Arial"/>
              </w:rPr>
            </w:pPr>
            <w:r>
              <w:rPr>
                <w:rFonts w:cs="Arial"/>
              </w:rPr>
              <w:t>Jane Cloudy</w:t>
            </w:r>
          </w:p>
        </w:tc>
        <w:tc>
          <w:tcPr>
            <w:tcW w:w="891" w:type="dxa"/>
            <w:tcBorders>
              <w:top w:val="single" w:sz="4" w:space="0" w:color="000000"/>
            </w:tcBorders>
            <w:vAlign w:val="center"/>
          </w:tcPr>
          <w:p>
            <w:pPr>
              <w:pStyle w:val="Normal"/>
              <w:widowControl w:val="false"/>
              <w:bidi w:val="0"/>
              <w:spacing w:before="60" w:after="60"/>
              <w:jc w:val="center"/>
              <w:rPr>
                <w:rFonts w:ascii="Arial" w:hAnsi="Arial" w:cs="Arial"/>
              </w:rPr>
            </w:pPr>
            <w:r>
              <w:rPr>
                <w:rFonts w:cs="Arial" w:ascii="Arial" w:hAnsi="Arial"/>
              </w:rPr>
              <w:t>Date</w:t>
            </w:r>
          </w:p>
        </w:tc>
        <w:tc>
          <w:tcPr>
            <w:tcW w:w="2045" w:type="dxa"/>
            <w:tcBorders>
              <w:top w:val="single" w:sz="4" w:space="0" w:color="000000"/>
              <w:bottom w:val="single" w:sz="4" w:space="0" w:color="000000"/>
              <w:end w:val="single" w:sz="4" w:space="0" w:color="000000"/>
            </w:tcBorders>
            <w:vAlign w:val="center"/>
          </w:tcPr>
          <w:p>
            <w:pPr>
              <w:pStyle w:val="Tabletextlight"/>
              <w:widowControl w:val="false"/>
              <w:bidi w:val="0"/>
              <w:spacing w:before="60" w:after="60"/>
              <w:jc w:val="start"/>
              <w:rPr>
                <w:rFonts w:cs="Arial"/>
              </w:rPr>
            </w:pPr>
            <w:r>
              <w:rPr>
                <w:rFonts w:cs="Arial"/>
              </w:rPr>
              <w:t>06/01/2025</w:t>
            </w:r>
          </w:p>
        </w:tc>
      </w:tr>
      <w:tr>
        <w:trPr>
          <w:trHeight w:val="576" w:hRule="atLeast"/>
        </w:trPr>
        <w:tc>
          <w:tcPr>
            <w:tcW w:w="1105" w:type="dxa"/>
            <w:tcBorders>
              <w:start w:val="single" w:sz="4" w:space="0" w:color="000000"/>
              <w:bottom w:val="single" w:sz="4" w:space="0" w:color="000000"/>
            </w:tcBorders>
            <w:vAlign w:val="center"/>
          </w:tcPr>
          <w:p>
            <w:pPr>
              <w:pStyle w:val="Normal"/>
              <w:widowControl w:val="false"/>
              <w:bidi w:val="0"/>
              <w:spacing w:before="60" w:after="60"/>
              <w:jc w:val="start"/>
              <w:rPr>
                <w:rFonts w:ascii="Arial" w:hAnsi="Arial" w:cs="Arial"/>
              </w:rPr>
            </w:pPr>
            <w:r>
              <w:rPr>
                <w:rFonts w:cs="Arial" w:ascii="Arial" w:hAnsi="Arial"/>
              </w:rPr>
              <w:t>Title</w:t>
            </w:r>
          </w:p>
        </w:tc>
        <w:tc>
          <w:tcPr>
            <w:tcW w:w="8867" w:type="dxa"/>
            <w:gridSpan w:val="4"/>
            <w:tcBorders>
              <w:bottom w:val="single" w:sz="4" w:space="0" w:color="000000"/>
              <w:end w:val="single" w:sz="4" w:space="0" w:color="000000"/>
            </w:tcBorders>
            <w:vAlign w:val="center"/>
          </w:tcPr>
          <w:p>
            <w:pPr>
              <w:pStyle w:val="Tabletextlight"/>
              <w:widowControl w:val="false"/>
              <w:bidi w:val="0"/>
              <w:spacing w:before="60" w:after="60"/>
              <w:jc w:val="start"/>
              <w:rPr>
                <w:rFonts w:cs="Arial"/>
              </w:rPr>
            </w:pPr>
            <w:r>
              <w:rPr>
                <w:rFonts w:cs="Arial"/>
              </w:rPr>
              <w:t>Director of Clouds</w:t>
            </w:r>
          </w:p>
        </w:tc>
      </w:tr>
      <w:tr>
        <w:trPr>
          <w:trHeight w:val="576" w:hRule="atLeast"/>
        </w:trPr>
        <w:tc>
          <w:tcPr>
            <w:tcW w:w="3344" w:type="dxa"/>
            <w:gridSpan w:val="2"/>
            <w:tcBorders>
              <w:start w:val="single" w:sz="4" w:space="0" w:color="000000"/>
            </w:tcBorders>
            <w:vAlign w:val="center"/>
          </w:tcPr>
          <w:p>
            <w:pPr>
              <w:pStyle w:val="Normal"/>
              <w:widowControl w:val="false"/>
              <w:bidi w:val="0"/>
              <w:spacing w:before="60" w:after="60"/>
              <w:jc w:val="start"/>
              <w:rPr>
                <w:rFonts w:ascii="Arial" w:hAnsi="Arial" w:cs="Arial"/>
              </w:rPr>
            </w:pPr>
            <w:r>
              <w:rPr>
                <w:rFonts w:cs="Arial" w:ascii="Arial" w:hAnsi="Arial"/>
              </w:rPr>
              <w:t>Cloud Service Provider</w:t>
            </w:r>
          </w:p>
        </w:tc>
        <w:tc>
          <w:tcPr>
            <w:tcW w:w="6628" w:type="dxa"/>
            <w:gridSpan w:val="3"/>
            <w:tcBorders>
              <w:top w:val="single" w:sz="4" w:space="0" w:color="000000"/>
              <w:bottom w:val="single" w:sz="4" w:space="0" w:color="000000"/>
              <w:end w:val="single" w:sz="4" w:space="0" w:color="000000"/>
            </w:tcBorders>
            <w:vAlign w:val="center"/>
          </w:tcPr>
          <w:p>
            <w:pPr>
              <w:pStyle w:val="Tabletextlight"/>
              <w:widowControl w:val="false"/>
              <w:bidi w:val="0"/>
              <w:spacing w:before="60" w:after="60"/>
              <w:jc w:val="start"/>
              <w:rPr>
                <w:rFonts w:cs="Arial"/>
              </w:rPr>
            </w:pPr>
            <w:r>
              <w:rPr>
                <w:rFonts w:cs="Arial"/>
              </w:rPr>
              <w:t>Initech</w:t>
            </w:r>
          </w:p>
        </w:tc>
      </w:tr>
    </w:tbl>
    <w:p>
      <w:pPr>
        <w:pStyle w:val="Normal"/>
        <w:bidi w:val="0"/>
        <w:jc w:val="start"/>
        <w:rPr>
          <w:rFonts w:ascii="Arial" w:hAnsi="Arial" w:cs="Arial"/>
        </w:rPr>
      </w:pPr>
      <w:r>
        <w:rPr>
          <w:rFonts w:cs="Arial" w:ascii="Arial" w:hAnsi="Arial"/>
        </w:rPr>
      </w:r>
    </w:p>
    <w:p>
      <w:pPr>
        <w:pStyle w:val="Heading1"/>
        <w:numPr>
          <w:ilvl w:val="0"/>
          <w:numId w:val="1"/>
        </w:numPr>
        <w:bidi w:val="0"/>
        <w:jc w:val="start"/>
        <w:rPr>
          <w:rFonts w:ascii="Arial" w:hAnsi="Arial" w:cs="Arial"/>
        </w:rPr>
      </w:pPr>
      <w:bookmarkStart w:id="3" w:name="_Toc132928032"/>
      <w:r>
        <w:rPr>
          <w:rFonts w:cs="Arial" w:ascii="Arial" w:hAnsi="Arial"/>
        </w:rPr>
        <w:t>System Owner</w:t>
      </w:r>
      <w:bookmarkEnd w:id="3"/>
    </w:p>
    <w:p>
      <w:pPr>
        <w:pStyle w:val="Normal"/>
        <w:bidi w:val="0"/>
        <w:jc w:val="start"/>
        <w:rPr>
          <w:rFonts w:ascii="Arial" w:hAnsi="Arial" w:cs="Arial"/>
        </w:rPr>
      </w:pPr>
      <w:r>
        <w:rPr>
          <w:rFonts w:cs="Arial" w:ascii="Arial" w:hAnsi="Arial"/>
        </w:rPr>
        <w:t>The following individual is identified as the system owner or functional proponent/advocate for this system. The system owner is the official responsible for the overall procurement, development, integration, modification, or operation and maintenance of an information system.</w:t>
      </w:r>
    </w:p>
    <w:p>
      <w:pPr>
        <w:pStyle w:val="tabletitle"/>
        <w:bidi w:val="0"/>
        <w:jc w:val="start"/>
        <w:rPr>
          <w:rFonts w:ascii="Arial" w:hAnsi="Arial" w:cs="Arial"/>
        </w:rPr>
      </w:pPr>
      <w:r>
        <w:rPr>
          <w:rFonts w:cs="Arial" w:ascii="Arial" w:hAnsi="Arial"/>
        </w:rPr>
        <w:t>Table 4.1 &lt;Insert CSO Name&gt; Owner</w:t>
      </w:r>
    </w:p>
    <w:tbl>
      <w:tblPr>
        <w:tblW w:w="9445" w:type="dxa"/>
        <w:jc w:val="start"/>
        <w:tblInd w:w="-5" w:type="dxa"/>
        <w:tblLayout w:type="fixed"/>
        <w:tblCellMar>
          <w:top w:w="0" w:type="dxa"/>
          <w:start w:w="108" w:type="dxa"/>
          <w:bottom w:w="0" w:type="dxa"/>
          <w:end w:w="108" w:type="dxa"/>
        </w:tblCellMar>
      </w:tblPr>
      <w:tblGrid>
        <w:gridCol w:w="2421"/>
        <w:gridCol w:w="7024"/>
      </w:tblGrid>
      <w:tr>
        <w:trPr>
          <w:tblHeader w:val="true"/>
          <w:trHeight w:val="22" w:hRule="atLeast"/>
        </w:trPr>
        <w:tc>
          <w:tcPr>
            <w:tcW w:w="9445" w:type="dxa"/>
            <w:gridSpan w:val="2"/>
            <w:tcBorders>
              <w:top w:val="single" w:sz="4" w:space="0" w:color="B4B4B4"/>
              <w:start w:val="single" w:sz="4" w:space="0" w:color="B4B4B4"/>
              <w:bottom w:val="single" w:sz="4" w:space="0" w:color="B4B4B4"/>
              <w:end w:val="single" w:sz="4" w:space="0" w:color="B4B4B4"/>
            </w:tcBorders>
            <w:shd w:fill="CCECFC" w:val="clear"/>
          </w:tcPr>
          <w:p>
            <w:pPr>
              <w:pStyle w:val="Normal"/>
              <w:widowControl w:val="false"/>
              <w:bidi w:val="0"/>
              <w:spacing w:lineRule="auto" w:line="288" w:before="80" w:after="80"/>
              <w:jc w:val="start"/>
              <w:rPr>
                <w:rFonts w:ascii="Arial" w:hAnsi="Arial" w:eastAsia="Arial" w:cs="Arial"/>
                <w:b/>
                <w:bCs/>
                <w:kern w:val="0"/>
                <w:szCs w:val="22"/>
                <w:lang w:val="en-US" w:eastAsia="en-US" w:bidi="ar-SA"/>
              </w:rPr>
            </w:pPr>
            <w:r>
              <w:rPr>
                <w:rFonts w:eastAsia="Arial" w:cs="Arial" w:ascii="Arial" w:hAnsi="Arial"/>
                <w:b/>
                <w:bCs/>
                <w:kern w:val="0"/>
                <w:szCs w:val="22"/>
                <w:lang w:val="en-US" w:eastAsia="en-US" w:bidi="ar-SA"/>
              </w:rPr>
              <w:t>System Owner Information</w:t>
            </w:r>
          </w:p>
        </w:tc>
      </w:tr>
      <w:tr>
        <w:trPr/>
        <w:tc>
          <w:tcPr>
            <w:tcW w:w="2421" w:type="dxa"/>
            <w:tcBorders>
              <w:top w:val="single" w:sz="4" w:space="0" w:color="B4B4B4"/>
              <w:start w:val="single" w:sz="4" w:space="0" w:color="B4B4B4"/>
              <w:bottom w:val="single" w:sz="4" w:space="0" w:color="B4B4B4"/>
              <w:end w:val="single" w:sz="4" w:space="0" w:color="B4B4B4"/>
            </w:tcBorders>
            <w:shd w:fill="F0F0F0" w:val="clear"/>
          </w:tcPr>
          <w:p>
            <w:pPr>
              <w:pStyle w:val="Normal"/>
              <w:widowControl w:val="false"/>
              <w:bidi w:val="0"/>
              <w:spacing w:lineRule="auto" w:line="288" w:before="80" w:after="80"/>
              <w:jc w:val="start"/>
              <w:rPr>
                <w:rFonts w:ascii="Arial" w:hAnsi="Arial" w:eastAsia="Arial" w:cs="Arial"/>
                <w:b/>
                <w:bCs/>
                <w:kern w:val="0"/>
                <w:szCs w:val="22"/>
                <w:lang w:val="en-US" w:eastAsia="en-US" w:bidi="ar-SA"/>
              </w:rPr>
            </w:pPr>
            <w:r>
              <w:rPr>
                <w:rFonts w:eastAsia="Arial" w:cs="Arial" w:ascii="Arial" w:hAnsi="Arial"/>
                <w:b/>
                <w:bCs/>
                <w:kern w:val="0"/>
                <w:szCs w:val="22"/>
                <w:lang w:val="en-US" w:eastAsia="en-US" w:bidi="ar-SA"/>
              </w:rPr>
              <w:t>Name</w:t>
            </w:r>
          </w:p>
        </w:tc>
        <w:tc>
          <w:tcPr>
            <w:tcW w:w="7024" w:type="dxa"/>
            <w:tcBorders>
              <w:top w:val="single" w:sz="4" w:space="0" w:color="B4B4B4"/>
              <w:start w:val="single" w:sz="4" w:space="0" w:color="B4B4B4"/>
              <w:bottom w:val="single" w:sz="4" w:space="0" w:color="B4B4B4"/>
              <w:end w:val="single" w:sz="4" w:space="0" w:color="B4B4B4"/>
            </w:tcBorders>
            <w:shd w:fill="F0F0F0" w:val="clear"/>
          </w:tcPr>
          <w:p>
            <w:pPr>
              <w:pStyle w:val="Normal"/>
              <w:widowControl w:val="false"/>
              <w:bidi w:val="0"/>
              <w:spacing w:lineRule="auto" w:line="288" w:before="80" w:after="80"/>
              <w:jc w:val="start"/>
              <w:rPr>
                <w:rFonts w:ascii="Arial" w:hAnsi="Arial" w:eastAsia="Arial" w:cs="Arial"/>
                <w:kern w:val="0"/>
                <w:szCs w:val="22"/>
                <w:lang w:val="en-US" w:eastAsia="en-US" w:bidi="ar-SA"/>
              </w:rPr>
            </w:pPr>
            <w:r>
              <w:rPr>
                <w:rFonts w:eastAsia="Arial" w:cs="Arial" w:ascii="Arial" w:hAnsi="Arial"/>
                <w:kern w:val="0"/>
                <w:szCs w:val="22"/>
                <w:lang w:val="en-US" w:eastAsia="en-US" w:bidi="ar-SA"/>
              </w:rPr>
              <w:t>Eugene Belford</w:t>
            </w:r>
          </w:p>
        </w:tc>
      </w:tr>
      <w:tr>
        <w:trPr/>
        <w:tc>
          <w:tcPr>
            <w:tcW w:w="2421"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b/>
                <w:bCs/>
                <w:kern w:val="0"/>
                <w:szCs w:val="22"/>
                <w:lang w:val="en-US" w:eastAsia="en-US" w:bidi="ar-SA"/>
              </w:rPr>
            </w:pPr>
            <w:r>
              <w:rPr>
                <w:rFonts w:cs="Arial" w:ascii="Arial" w:hAnsi="Arial"/>
                <w:b/>
                <w:bCs/>
                <w:kern w:val="0"/>
                <w:szCs w:val="22"/>
                <w:lang w:val="en-US" w:eastAsia="en-US" w:bidi="ar-SA"/>
              </w:rPr>
              <w:t>Title</w:t>
            </w:r>
          </w:p>
        </w:tc>
        <w:tc>
          <w:tcPr>
            <w:tcW w:w="7024"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eastAsia="Arial" w:cs="Arial"/>
                <w:kern w:val="0"/>
                <w:szCs w:val="22"/>
                <w:lang w:val="en-US" w:eastAsia="en-US" w:bidi="ar-SA"/>
              </w:rPr>
            </w:pPr>
            <w:r>
              <w:rPr>
                <w:rFonts w:eastAsia="Arial" w:cs="Arial" w:ascii="Arial" w:hAnsi="Arial"/>
                <w:kern w:val="0"/>
                <w:szCs w:val="22"/>
                <w:lang w:val="en-US" w:eastAsia="en-US" w:bidi="ar-SA"/>
              </w:rPr>
              <w:t>Director of HR</w:t>
            </w:r>
          </w:p>
        </w:tc>
      </w:tr>
      <w:tr>
        <w:trPr>
          <w:trHeight w:val="22" w:hRule="atLeast"/>
        </w:trPr>
        <w:tc>
          <w:tcPr>
            <w:tcW w:w="2421" w:type="dxa"/>
            <w:tcBorders>
              <w:top w:val="single" w:sz="4" w:space="0" w:color="B4B4B4"/>
              <w:start w:val="single" w:sz="4" w:space="0" w:color="B4B4B4"/>
              <w:bottom w:val="single" w:sz="4" w:space="0" w:color="B4B4B4"/>
              <w:end w:val="single" w:sz="4" w:space="0" w:color="B4B4B4"/>
            </w:tcBorders>
            <w:shd w:fill="F0F0F0" w:val="clear"/>
          </w:tcPr>
          <w:p>
            <w:pPr>
              <w:pStyle w:val="Normal"/>
              <w:widowControl w:val="false"/>
              <w:bidi w:val="0"/>
              <w:spacing w:lineRule="auto" w:line="288" w:before="80" w:after="80"/>
              <w:jc w:val="start"/>
              <w:rPr>
                <w:rFonts w:ascii="Arial" w:hAnsi="Arial" w:cs="Arial"/>
                <w:b/>
                <w:bCs/>
                <w:kern w:val="0"/>
                <w:szCs w:val="22"/>
                <w:lang w:val="en-US" w:eastAsia="en-US" w:bidi="ar-SA"/>
              </w:rPr>
            </w:pPr>
            <w:r>
              <w:rPr>
                <w:rFonts w:cs="Arial" w:ascii="Arial" w:hAnsi="Arial"/>
                <w:b/>
                <w:bCs/>
                <w:kern w:val="0"/>
                <w:szCs w:val="22"/>
                <w:lang w:val="en-US" w:eastAsia="en-US" w:bidi="ar-SA"/>
              </w:rPr>
              <w:t>Company / Organization</w:t>
            </w:r>
          </w:p>
        </w:tc>
        <w:tc>
          <w:tcPr>
            <w:tcW w:w="7024" w:type="dxa"/>
            <w:tcBorders>
              <w:top w:val="single" w:sz="4" w:space="0" w:color="B4B4B4"/>
              <w:start w:val="single" w:sz="4" w:space="0" w:color="B4B4B4"/>
              <w:bottom w:val="single" w:sz="4" w:space="0" w:color="B4B4B4"/>
              <w:end w:val="single" w:sz="4" w:space="0" w:color="B4B4B4"/>
            </w:tcBorders>
            <w:shd w:fill="F0F0F0" w:val="clear"/>
          </w:tcPr>
          <w:p>
            <w:pPr>
              <w:pStyle w:val="Normal"/>
              <w:widowControl w:val="false"/>
              <w:bidi w:val="0"/>
              <w:spacing w:lineRule="auto" w:line="288" w:before="80" w:after="80"/>
              <w:jc w:val="start"/>
              <w:rPr>
                <w:rFonts w:ascii="Arial" w:hAnsi="Arial" w:eastAsia="Arial" w:cs="Arial"/>
                <w:kern w:val="0"/>
                <w:szCs w:val="22"/>
                <w:lang w:val="en-US" w:eastAsia="en-US" w:bidi="ar-SA"/>
              </w:rPr>
            </w:pPr>
            <w:r>
              <w:rPr>
                <w:rFonts w:eastAsia="Arial" w:cs="Arial" w:ascii="Arial" w:hAnsi="Arial"/>
                <w:kern w:val="0"/>
                <w:szCs w:val="22"/>
                <w:lang w:val="en-US" w:eastAsia="en-US" w:bidi="ar-SA"/>
              </w:rPr>
              <w:t>Gibson Systems</w:t>
            </w:r>
          </w:p>
        </w:tc>
      </w:tr>
      <w:tr>
        <w:trPr>
          <w:trHeight w:val="22" w:hRule="atLeast"/>
        </w:trPr>
        <w:tc>
          <w:tcPr>
            <w:tcW w:w="2421" w:type="dxa"/>
            <w:tcBorders>
              <w:top w:val="single" w:sz="4" w:space="0" w:color="B4B4B4"/>
              <w:start w:val="single" w:sz="4" w:space="0" w:color="B4B4B4"/>
              <w:bottom w:val="single" w:sz="4" w:space="0" w:color="B4B4B4"/>
              <w:end w:val="single" w:sz="4" w:space="0" w:color="B4B4B4"/>
            </w:tcBorders>
            <w:shd w:fill="F0F0F0" w:val="clear"/>
          </w:tcPr>
          <w:p>
            <w:pPr>
              <w:pStyle w:val="Normal"/>
              <w:widowControl w:val="false"/>
              <w:bidi w:val="0"/>
              <w:spacing w:lineRule="auto" w:line="288" w:before="80" w:after="80"/>
              <w:jc w:val="start"/>
              <w:rPr>
                <w:rFonts w:ascii="Arial" w:hAnsi="Arial" w:eastAsia="Arial" w:cs="Arial"/>
                <w:b/>
                <w:bCs/>
                <w:kern w:val="0"/>
                <w:szCs w:val="22"/>
                <w:lang w:val="en-US" w:eastAsia="en-US" w:bidi="ar-SA"/>
              </w:rPr>
            </w:pPr>
            <w:r>
              <w:rPr>
                <w:rFonts w:eastAsia="Arial" w:cs="Arial" w:ascii="Arial" w:hAnsi="Arial"/>
                <w:b/>
                <w:bCs/>
                <w:kern w:val="0"/>
                <w:szCs w:val="22"/>
                <w:lang w:val="en-US" w:eastAsia="en-US" w:bidi="ar-SA"/>
              </w:rPr>
              <w:t>Phone Number</w:t>
            </w:r>
          </w:p>
        </w:tc>
        <w:tc>
          <w:tcPr>
            <w:tcW w:w="7024" w:type="dxa"/>
            <w:tcBorders>
              <w:top w:val="single" w:sz="4" w:space="0" w:color="B4B4B4"/>
              <w:start w:val="single" w:sz="4" w:space="0" w:color="B4B4B4"/>
              <w:bottom w:val="single" w:sz="4" w:space="0" w:color="B4B4B4"/>
              <w:end w:val="single" w:sz="4" w:space="0" w:color="B4B4B4"/>
            </w:tcBorders>
            <w:shd w:fill="F0F0F0" w:val="clear"/>
          </w:tcPr>
          <w:p>
            <w:pPr>
              <w:pStyle w:val="Normal"/>
              <w:widowControl w:val="false"/>
              <w:bidi w:val="0"/>
              <w:spacing w:lineRule="auto" w:line="288" w:before="80" w:after="80"/>
              <w:jc w:val="start"/>
              <w:rPr>
                <w:rFonts w:ascii="Arial" w:hAnsi="Arial" w:eastAsia="Arial" w:cs="Arial"/>
                <w:kern w:val="0"/>
                <w:szCs w:val="22"/>
                <w:lang w:val="en-US" w:eastAsia="en-US" w:bidi="ar-SA"/>
              </w:rPr>
            </w:pPr>
            <w:r>
              <w:rPr>
                <w:rFonts w:eastAsia="Arial" w:cs="Arial" w:ascii="Arial" w:hAnsi="Arial"/>
                <w:kern w:val="0"/>
                <w:szCs w:val="22"/>
                <w:lang w:val="en-US" w:eastAsia="en-US" w:bidi="ar-SA"/>
              </w:rPr>
              <w:t>555-555-5555</w:t>
            </w:r>
          </w:p>
        </w:tc>
      </w:tr>
      <w:tr>
        <w:trPr>
          <w:trHeight w:val="22" w:hRule="atLeast"/>
        </w:trPr>
        <w:tc>
          <w:tcPr>
            <w:tcW w:w="2421"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eastAsia="Arial" w:cs="Arial"/>
                <w:b/>
                <w:bCs/>
                <w:kern w:val="0"/>
                <w:szCs w:val="22"/>
                <w:lang w:val="en-US" w:eastAsia="en-US" w:bidi="ar-SA"/>
              </w:rPr>
            </w:pPr>
            <w:r>
              <w:rPr>
                <w:rFonts w:eastAsia="Arial" w:cs="Arial" w:ascii="Arial" w:hAnsi="Arial"/>
                <w:b/>
                <w:bCs/>
                <w:kern w:val="0"/>
                <w:szCs w:val="22"/>
                <w:lang w:val="en-US" w:eastAsia="en-US" w:bidi="ar-SA"/>
              </w:rPr>
              <w:t>Email Address</w:t>
            </w:r>
          </w:p>
        </w:tc>
        <w:tc>
          <w:tcPr>
            <w:tcW w:w="7024"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eastAsia="Arial" w:cs="Arial"/>
                <w:kern w:val="0"/>
                <w:szCs w:val="22"/>
                <w:lang w:val="en-US" w:eastAsia="en-US" w:bidi="ar-SA"/>
              </w:rPr>
            </w:pPr>
            <w:r>
              <w:rPr>
                <w:rFonts w:eastAsia="Arial" w:cs="Arial" w:ascii="Arial" w:hAnsi="Arial"/>
                <w:kern w:val="0"/>
                <w:szCs w:val="22"/>
                <w:lang w:val="en-US" w:eastAsia="en-US" w:bidi="ar-SA"/>
              </w:rPr>
              <w:t>eugene@gibson.com</w:t>
            </w:r>
          </w:p>
        </w:tc>
      </w:tr>
    </w:tbl>
    <w:p>
      <w:pPr>
        <w:pStyle w:val="Heading1"/>
        <w:numPr>
          <w:ilvl w:val="0"/>
          <w:numId w:val="1"/>
        </w:numPr>
        <w:bidi w:val="0"/>
        <w:jc w:val="start"/>
        <w:rPr>
          <w:rFonts w:ascii="Arial" w:hAnsi="Arial" w:cs="Arial"/>
        </w:rPr>
      </w:pPr>
      <w:bookmarkStart w:id="4" w:name="_Toc132928033"/>
      <w:r>
        <w:rPr>
          <w:rFonts w:cs="Arial" w:ascii="Arial" w:hAnsi="Arial"/>
        </w:rPr>
        <w:t>Assignment of Security Responsibility</w:t>
      </w:r>
      <w:bookmarkEnd w:id="4"/>
    </w:p>
    <w:p>
      <w:pPr>
        <w:pStyle w:val="Normal"/>
        <w:bidi w:val="0"/>
        <w:spacing w:before="0" w:after="0"/>
        <w:jc w:val="start"/>
        <w:rPr>
          <w:rFonts w:ascii="Arial" w:hAnsi="Arial" w:cs="Arial"/>
        </w:rPr>
      </w:pPr>
      <w:r>
        <w:rPr>
          <w:rFonts w:cs="Arial" w:ascii="Arial" w:hAnsi="Arial"/>
        </w:rPr>
      </w:r>
    </w:p>
    <w:tbl>
      <w:tblPr>
        <w:tblW w:w="9445" w:type="dxa"/>
        <w:jc w:val="start"/>
        <w:tblInd w:w="0" w:type="dxa"/>
        <w:tblLayout w:type="fixed"/>
        <w:tblCellMar>
          <w:top w:w="0" w:type="dxa"/>
          <w:start w:w="108" w:type="dxa"/>
          <w:bottom w:w="0" w:type="dxa"/>
          <w:end w:w="108" w:type="dxa"/>
        </w:tblCellMar>
      </w:tblPr>
      <w:tblGrid>
        <w:gridCol w:w="2421"/>
        <w:gridCol w:w="7024"/>
      </w:tblGrid>
      <w:tr>
        <w:trPr>
          <w:tblHeader w:val="true"/>
          <w:trHeight w:val="22" w:hRule="atLeast"/>
        </w:trPr>
        <w:tc>
          <w:tcPr>
            <w:tcW w:w="9445" w:type="dxa"/>
            <w:gridSpan w:val="2"/>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b/>
                <w:bCs/>
                <w:szCs w:val="22"/>
              </w:rPr>
            </w:pPr>
            <w:r>
              <w:rPr>
                <w:rFonts w:cs="Arial" w:ascii="Arial" w:hAnsi="Arial"/>
                <w:b/>
                <w:bCs/>
                <w:szCs w:val="22"/>
              </w:rPr>
              <w:t>ISSO (or Equivalent) Point of Contact</w:t>
            </w:r>
          </w:p>
        </w:tc>
      </w:tr>
      <w:tr>
        <w:trPr/>
        <w:tc>
          <w:tcPr>
            <w:tcW w:w="2421"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b/>
                <w:bCs/>
                <w:color w:val="000000"/>
                <w:szCs w:val="22"/>
              </w:rPr>
            </w:pPr>
            <w:r>
              <w:rPr>
                <w:rFonts w:cs="Arial" w:ascii="Arial" w:hAnsi="Arial"/>
                <w:b/>
                <w:bCs/>
                <w:color w:val="000000"/>
                <w:szCs w:val="22"/>
              </w:rPr>
              <w:t>Name</w:t>
            </w:r>
          </w:p>
        </w:tc>
        <w:tc>
          <w:tcPr>
            <w:tcW w:w="7024"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color w:val="808080"/>
                <w:szCs w:val="22"/>
              </w:rPr>
            </w:pPr>
            <w:r>
              <w:rPr>
                <w:rFonts w:cs="Arial" w:ascii="Arial" w:hAnsi="Arial"/>
                <w:color w:val="808080"/>
                <w:szCs w:val="22"/>
              </w:rPr>
              <w:t>Bill Lumberg</w:t>
            </w:r>
          </w:p>
        </w:tc>
      </w:tr>
      <w:tr>
        <w:trPr/>
        <w:tc>
          <w:tcPr>
            <w:tcW w:w="2421"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b/>
                <w:bCs/>
                <w:color w:val="000000"/>
                <w:szCs w:val="22"/>
              </w:rPr>
            </w:pPr>
            <w:r>
              <w:rPr>
                <w:rFonts w:cs="Arial" w:ascii="Arial" w:hAnsi="Arial"/>
                <w:b/>
                <w:bCs/>
                <w:color w:val="000000"/>
                <w:szCs w:val="22"/>
              </w:rPr>
              <w:t>Title</w:t>
            </w:r>
          </w:p>
        </w:tc>
        <w:tc>
          <w:tcPr>
            <w:tcW w:w="7024"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color w:val="808080"/>
                <w:szCs w:val="22"/>
              </w:rPr>
            </w:pPr>
            <w:r>
              <w:rPr>
                <w:rFonts w:cs="Arial" w:ascii="Arial" w:hAnsi="Arial"/>
                <w:color w:val="808080"/>
                <w:szCs w:val="22"/>
              </w:rPr>
              <w:t>ISSO, HR</w:t>
            </w:r>
          </w:p>
        </w:tc>
      </w:tr>
      <w:tr>
        <w:trPr>
          <w:trHeight w:val="22" w:hRule="atLeast"/>
        </w:trPr>
        <w:tc>
          <w:tcPr>
            <w:tcW w:w="2421"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b/>
                <w:bCs/>
                <w:color w:val="000000"/>
                <w:szCs w:val="22"/>
              </w:rPr>
            </w:pPr>
            <w:r>
              <w:rPr>
                <w:rFonts w:cs="Arial" w:ascii="Arial" w:hAnsi="Arial"/>
                <w:b/>
                <w:bCs/>
                <w:color w:val="000000"/>
                <w:szCs w:val="22"/>
              </w:rPr>
              <w:t>Company / Organization</w:t>
            </w:r>
          </w:p>
        </w:tc>
        <w:tc>
          <w:tcPr>
            <w:tcW w:w="7024"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color w:val="808080"/>
                <w:szCs w:val="22"/>
              </w:rPr>
            </w:pPr>
            <w:r>
              <w:rPr>
                <w:rFonts w:cs="Arial" w:ascii="Arial" w:hAnsi="Arial"/>
                <w:color w:val="808080"/>
                <w:szCs w:val="22"/>
              </w:rPr>
              <w:t>Gibson Systems</w:t>
            </w:r>
          </w:p>
        </w:tc>
      </w:tr>
      <w:tr>
        <w:trPr>
          <w:trHeight w:val="22" w:hRule="atLeast"/>
        </w:trPr>
        <w:tc>
          <w:tcPr>
            <w:tcW w:w="2421"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b/>
                <w:bCs/>
                <w:color w:val="000000"/>
                <w:szCs w:val="22"/>
              </w:rPr>
            </w:pPr>
            <w:r>
              <w:rPr>
                <w:rFonts w:cs="Arial" w:ascii="Arial" w:hAnsi="Arial"/>
                <w:b/>
                <w:bCs/>
                <w:color w:val="000000"/>
                <w:szCs w:val="22"/>
              </w:rPr>
              <w:t>Phone Number</w:t>
            </w:r>
          </w:p>
        </w:tc>
        <w:tc>
          <w:tcPr>
            <w:tcW w:w="7024"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color w:val="808080"/>
                <w:szCs w:val="22"/>
              </w:rPr>
            </w:pPr>
            <w:r>
              <w:rPr>
                <w:rFonts w:cs="Arial" w:ascii="Arial" w:hAnsi="Arial"/>
                <w:color w:val="808080"/>
                <w:szCs w:val="22"/>
              </w:rPr>
              <w:t>555-555-5551</w:t>
            </w:r>
          </w:p>
        </w:tc>
      </w:tr>
      <w:tr>
        <w:trPr>
          <w:trHeight w:val="22" w:hRule="atLeast"/>
        </w:trPr>
        <w:tc>
          <w:tcPr>
            <w:tcW w:w="2421"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b/>
                <w:bCs/>
                <w:color w:val="000000"/>
                <w:szCs w:val="22"/>
              </w:rPr>
            </w:pPr>
            <w:r>
              <w:rPr>
                <w:rFonts w:cs="Arial" w:ascii="Arial" w:hAnsi="Arial"/>
                <w:b/>
                <w:bCs/>
                <w:color w:val="000000"/>
                <w:szCs w:val="22"/>
              </w:rPr>
              <w:t>Email Address</w:t>
            </w:r>
          </w:p>
        </w:tc>
        <w:tc>
          <w:tcPr>
            <w:tcW w:w="7024" w:type="dxa"/>
            <w:tcBorders>
              <w:top w:val="single" w:sz="4" w:space="0" w:color="B4B4B4"/>
              <w:start w:val="single" w:sz="4" w:space="0" w:color="B4B4B4"/>
              <w:bottom w:val="single" w:sz="4" w:space="0" w:color="B4B4B4"/>
              <w:end w:val="single" w:sz="4" w:space="0" w:color="B4B4B4"/>
            </w:tcBorders>
          </w:tcPr>
          <w:p>
            <w:pPr>
              <w:pStyle w:val="Normal"/>
              <w:widowControl w:val="false"/>
              <w:bidi w:val="0"/>
              <w:spacing w:lineRule="auto" w:line="288" w:before="80" w:after="80"/>
              <w:jc w:val="start"/>
              <w:rPr>
                <w:rFonts w:ascii="Arial" w:hAnsi="Arial" w:cs="Arial"/>
                <w:color w:val="808080"/>
                <w:szCs w:val="22"/>
              </w:rPr>
            </w:pPr>
            <w:r>
              <w:rPr>
                <w:rFonts w:cs="Arial" w:ascii="Arial" w:hAnsi="Arial"/>
                <w:color w:val="808080"/>
                <w:szCs w:val="22"/>
              </w:rPr>
              <w:t>bill@gibson.com</w:t>
            </w:r>
          </w:p>
        </w:tc>
      </w:tr>
    </w:tbl>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Heading1"/>
        <w:numPr>
          <w:ilvl w:val="0"/>
          <w:numId w:val="1"/>
        </w:numPr>
        <w:bidi w:val="0"/>
        <w:jc w:val="start"/>
        <w:rPr/>
      </w:pPr>
      <w:bookmarkStart w:id="5" w:name="_Toc132928036"/>
      <w:r>
        <w:rPr>
          <w:rFonts w:cs="Arial" w:ascii="Arial" w:hAnsi="Arial"/>
        </w:rPr>
        <w:t>Illustrated Architecture and Narratives</w:t>
      </w:r>
      <w:bookmarkEnd w:id="5"/>
      <w:r>
        <w:rPr>
          <w:rFonts w:cs="Arial" w:ascii="Arial" w:hAnsi="Arial"/>
        </w:rPr>
        <w:t xml:space="preserve"> </w:t>
      </w:r>
    </w:p>
    <w:p>
      <w:pPr>
        <w:pStyle w:val="Normal"/>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055110" cy="288544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4055110" cy="2885440"/>
                    </a:xfrm>
                    <a:prstGeom prst="rect">
                      <a:avLst/>
                    </a:prstGeom>
                    <a:noFill/>
                  </pic:spPr>
                </pic:pic>
              </a:graphicData>
            </a:graphic>
          </wp:anchor>
        </w:drawing>
      </w:r>
      <w:r>
        <w:rPr>
          <w:rFonts w:cs="Arial" w:ascii="Arial" w:hAnsi="Arial"/>
        </w:rPr>
        <w:tab/>
        <w:tab/>
        <w:tab/>
        <w:tab/>
        <w:tab/>
        <w:tab/>
        <w:tab/>
        <w:tab/>
        <w:tab/>
        <w:tab/>
        <w:tab/>
        <w:tab/>
        <w:tab/>
        <w:tab/>
        <w:tab/>
        <w:tab/>
        <w:tab/>
        <w:tab/>
        <w:tab/>
        <w:tab/>
        <w:tab/>
        <w:tab/>
        <w:tab/>
        <w:tab/>
        <w:tab/>
        <w:tab/>
        <w:tab/>
        <w:tab/>
        <w:tab/>
        <w:tab/>
        <w:tab/>
        <w:tab/>
        <w:tab/>
        <w:tab/>
        <w:tab/>
        <w:t xml:space="preserve">This system is a </w:t>
      </w:r>
      <w:r>
        <w:rPr>
          <w:rFonts w:cs="Arial" w:ascii="Arial" w:hAnsi="Arial"/>
          <w:b/>
        </w:rPr>
        <w:t>cloud-native, serverless-first web application</w:t>
      </w:r>
      <w:r>
        <w:rPr>
          <w:rFonts w:cs="Arial" w:ascii="Arial" w:hAnsi="Arial"/>
        </w:rPr>
        <w:t xml:space="preserve"> built on AWS that combines managed CI/CD, containerized microservices, and event-driven data processing.</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Development begins in </w:t>
      </w:r>
      <w:r>
        <w:rPr>
          <w:b/>
        </w:rPr>
        <w:t>Cloud9</w:t>
      </w:r>
      <w:r>
        <w:rPr/>
        <w:t xml:space="preserve">, where code changes are committed to </w:t>
      </w:r>
      <w:r>
        <w:rPr>
          <w:b/>
        </w:rPr>
        <w:t>AWS CodeCommit</w:t>
      </w:r>
      <w:r>
        <w:rPr/>
        <w:t xml:space="preserve">. Those changes automatically trigger a </w:t>
      </w:r>
      <w:r>
        <w:rPr>
          <w:b/>
        </w:rPr>
        <w:t>Fargate-based CI/CD pipeline</w:t>
      </w:r>
      <w:r>
        <w:rPr/>
        <w:t xml:space="preserve"> using </w:t>
      </w:r>
      <w:r>
        <w:rPr>
          <w:b/>
        </w:rPr>
        <w:t>CodePipeline</w:t>
      </w:r>
      <w:r>
        <w:rPr/>
        <w:t xml:space="preserve"> and </w:t>
      </w:r>
      <w:r>
        <w:rPr>
          <w:b/>
        </w:rPr>
        <w:t>CodeBuild</w:t>
      </w:r>
      <w:r>
        <w:rPr/>
        <w:t xml:space="preserve">, which builds and deploys updated container images to </w:t>
      </w:r>
      <w:r>
        <w:rPr>
          <w:b/>
        </w:rPr>
        <w:t>AWS Fargate</w:t>
      </w:r>
      <w:r>
        <w:rPr/>
        <w:t>. This ensures consistent, automated deployments without managing servers.</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From a user perspective, clients access the application through a browser. </w:t>
      </w:r>
      <w:r>
        <w:rPr>
          <w:b/>
        </w:rPr>
        <w:t>Static web content</w:t>
      </w:r>
      <w:r>
        <w:rPr/>
        <w:t xml:space="preserve"> (the frontend) is served directly from an </w:t>
      </w:r>
      <w:r>
        <w:rPr>
          <w:b/>
        </w:rPr>
        <w:t>S3 bucket</w:t>
      </w:r>
      <w:r>
        <w:rPr/>
        <w:t xml:space="preserve">, while API calls are routed through </w:t>
      </w:r>
      <w:r>
        <w:rPr>
          <w:b/>
        </w:rPr>
        <w:t>API Gateway</w:t>
      </w:r>
      <w:r>
        <w:rPr/>
        <w:t xml:space="preserve">. User authentication is handled by </w:t>
      </w:r>
      <w:r>
        <w:rPr>
          <w:b/>
        </w:rPr>
        <w:t>Amazon Cognito</w:t>
      </w:r>
      <w:r>
        <w:rPr/>
        <w:t>, which authenticates users and authorizes API requests before they are allowed into the system.</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Once authorized, API requests flow through </w:t>
      </w:r>
      <w:r>
        <w:rPr>
          <w:b/>
        </w:rPr>
        <w:t>API Gateway</w:t>
      </w:r>
      <w:r>
        <w:rPr/>
        <w:t xml:space="preserve"> and are routed either to backend compute or to application services. Requests targeting the core application logic are forwarded through a </w:t>
      </w:r>
      <w:r>
        <w:rPr>
          <w:b/>
        </w:rPr>
        <w:t>Network Load Balancer</w:t>
      </w:r>
      <w:r>
        <w:rPr/>
        <w:t xml:space="preserve"> to a </w:t>
      </w:r>
      <w:r>
        <w:rPr>
          <w:b/>
        </w:rPr>
        <w:t>Fargate-hosted microservice</w:t>
      </w:r>
      <w:r>
        <w:rPr/>
        <w:t xml:space="preserve">, which implements the main business functionality. This service can read from or update </w:t>
      </w:r>
      <w:r>
        <w:rPr>
          <w:b/>
        </w:rPr>
        <w:t>DynamoDB</w:t>
      </w:r>
      <w:r>
        <w:rPr/>
        <w:t>, which acts as the system’s low-latency operational data store.</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For event and data-processing workloads, the system uses an </w:t>
      </w:r>
      <w:r>
        <w:rPr>
          <w:b/>
        </w:rPr>
        <w:t>event-driven pipeline</w:t>
      </w:r>
      <w:r>
        <w:rPr/>
        <w:t xml:space="preserve">. Raw user or application data is sent from API Gateway into </w:t>
      </w:r>
      <w:r>
        <w:rPr>
          <w:b/>
        </w:rPr>
        <w:t>Kinesis Data Firehose</w:t>
      </w:r>
      <w:r>
        <w:rPr/>
        <w:t xml:space="preserve">, enabling reliable, scalable ingestion. </w:t>
      </w:r>
      <w:r>
        <w:rPr>
          <w:b/>
        </w:rPr>
        <w:t>AWS Lambda</w:t>
      </w:r>
      <w:r>
        <w:rPr/>
        <w:t xml:space="preserve"> functions process these incoming records—enriching, transforming, or deriving additional attributes—and the resulting enriched data is stored in a separate </w:t>
      </w:r>
      <w:r>
        <w:rPr>
          <w:b/>
        </w:rPr>
        <w:t>S3 bucket</w:t>
      </w:r>
      <w:r>
        <w:rPr/>
        <w:t xml:space="preserve"> for analytics, reporting, or downstream consumption.</w:t>
      </w:r>
    </w:p>
    <w:p>
      <w:pPr>
        <w:pStyle w:val="Normal"/>
        <w:bidi w:val="0"/>
        <w:jc w:val="start"/>
        <w:rPr>
          <w:rFonts w:ascii="Arial" w:hAnsi="Arial" w:cs="Arial"/>
        </w:rPr>
      </w:pPr>
      <w:r>
        <w:rPr>
          <w:rFonts w:cs="Arial" w:ascii="Arial" w:hAnsi="Arial"/>
        </w:rPr>
      </w:r>
    </w:p>
    <w:tbl>
      <w:tblPr>
        <w:tblW w:w="9350" w:type="dxa"/>
        <w:jc w:val="start"/>
        <w:tblInd w:w="0" w:type="dxa"/>
        <w:tblLayout w:type="fixed"/>
        <w:tblCellMar>
          <w:top w:w="0" w:type="dxa"/>
          <w:start w:w="108" w:type="dxa"/>
          <w:bottom w:w="0" w:type="dxa"/>
          <w:end w:w="108" w:type="dxa"/>
        </w:tblCellMar>
      </w:tblPr>
      <w:tblGrid>
        <w:gridCol w:w="9350"/>
      </w:tblGrid>
      <w:tr>
        <w:trPr/>
        <w:tc>
          <w:tcPr>
            <w:tcW w:w="9350" w:type="dxa"/>
            <w:tcBorders>
              <w:top w:val="single" w:sz="4" w:space="0" w:color="000000"/>
              <w:start w:val="single" w:sz="4" w:space="0" w:color="000000"/>
              <w:bottom w:val="single" w:sz="4" w:space="0" w:color="000000"/>
              <w:end w:val="single" w:sz="4" w:space="0" w:color="000000"/>
            </w:tcBorders>
            <w:shd w:fill="CCECFC" w:val="clear"/>
          </w:tcPr>
          <w:p>
            <w:pPr>
              <w:pStyle w:val="Normal"/>
              <w:widowControl w:val="false"/>
              <w:bidi w:val="0"/>
              <w:jc w:val="start"/>
              <w:rPr>
                <w:rFonts w:ascii="Arial" w:hAnsi="Arial" w:cs="Arial"/>
                <w:b/>
                <w:lang w:val="en-US"/>
              </w:rPr>
            </w:pPr>
            <w:r>
              <w:rPr>
                <w:rFonts w:cs="Arial" w:ascii="Arial" w:hAnsi="Arial"/>
                <w:b/>
                <w:lang w:val="en-US"/>
              </w:rPr>
              <w:t>AC-2 What is the solution and how is it implemented?</w:t>
            </w:r>
          </w:p>
        </w:tc>
      </w:tr>
      <w:tr>
        <w:trPr/>
        <w:tc>
          <w:tcPr>
            <w:tcW w:w="9350" w:type="dxa"/>
            <w:tcBorders>
              <w:top w:val="single" w:sz="4" w:space="0" w:color="000000"/>
              <w:start w:val="single" w:sz="4" w:space="0" w:color="000000"/>
              <w:bottom w:val="single" w:sz="4" w:space="0" w:color="000000"/>
              <w:end w:val="single" w:sz="4" w:space="0" w:color="000000"/>
            </w:tcBorders>
            <w:shd w:fill="FFFFFF" w:val="clear"/>
          </w:tcPr>
          <w:p>
            <w:pPr>
              <w:pStyle w:val="Heading3"/>
              <w:widowControl w:val="false"/>
              <w:bidi w:val="0"/>
              <w:spacing w:before="140" w:after="120"/>
              <w:jc w:val="start"/>
              <w:rPr>
                <w:rFonts w:ascii="Arial" w:hAnsi="Arial" w:cs="Arial"/>
                <w:b/>
                <w:lang w:val="en-US"/>
              </w:rPr>
            </w:pPr>
            <w:r>
              <w:rPr>
                <w:rFonts w:cs="Arial" w:ascii="Arial" w:hAnsi="Arial"/>
                <w:b/>
                <w:lang w:val="en-US"/>
              </w:rPr>
              <w:t>Control Implementation</w:t>
            </w:r>
          </w:p>
          <w:p>
            <w:pPr>
              <w:pStyle w:val="BodyText"/>
              <w:widowControl w:val="false"/>
              <w:bidi w:val="0"/>
              <w:spacing w:lineRule="auto" w:line="276" w:before="0" w:after="140"/>
              <w:jc w:val="start"/>
              <w:rPr/>
            </w:pPr>
            <w:r>
              <w:rPr/>
              <w:t>The system enforces account management controls to ensure that access to system resources is restricted to authorized users, roles, and services.</w:t>
            </w:r>
          </w:p>
          <w:p>
            <w:pPr>
              <w:pStyle w:val="BodyText"/>
              <w:widowControl w:val="false"/>
              <w:bidi w:val="0"/>
              <w:spacing w:lineRule="auto" w:line="276" w:before="0" w:after="140"/>
              <w:jc w:val="start"/>
              <w:rPr/>
            </w:pPr>
            <w:r>
              <w:rPr/>
              <w:t xml:space="preserve">End-user authentication and authorization are handled through </w:t>
            </w:r>
            <w:r>
              <w:rPr>
                <w:b/>
              </w:rPr>
              <w:t>Amazon Cognito</w:t>
            </w:r>
            <w:r>
              <w:rPr/>
              <w:t xml:space="preserve">, which manages user account creation, modification, disabling, and deletion in accordance with documented access approval procedures. Users authenticate through Cognito user pools and receive time-limited tokens that are validated by </w:t>
            </w:r>
            <w:r>
              <w:rPr>
                <w:b/>
              </w:rPr>
              <w:t>Amazon API Gateway</w:t>
            </w:r>
            <w:r>
              <w:rPr/>
              <w:t xml:space="preserve"> before access to backend services is granted.</w:t>
            </w:r>
          </w:p>
          <w:p>
            <w:pPr>
              <w:pStyle w:val="BodyText"/>
              <w:widowControl w:val="false"/>
              <w:bidi w:val="0"/>
              <w:spacing w:lineRule="auto" w:line="276" w:before="0" w:after="140"/>
              <w:jc w:val="start"/>
              <w:rPr/>
            </w:pPr>
            <w:r>
              <w:rPr/>
              <w:t xml:space="preserve">System and service accounts are managed using </w:t>
            </w:r>
            <w:r>
              <w:rPr>
                <w:b/>
              </w:rPr>
              <w:t>AWS Identity and Access Management (IAM)</w:t>
            </w:r>
            <w:r>
              <w:rPr/>
              <w:t>. IAM roles are used exclusively for service-to-service access (e.g., API Gateway to Lambda, Fargate to DynamoDB, Lambda to Kinesis and S3), eliminating the use of long-lived static credentials. Administrative access to AWS resources is restricted to authorized personnel and protected by multi-factor authentication (MFA).</w:t>
            </w:r>
          </w:p>
          <w:p>
            <w:pPr>
              <w:pStyle w:val="BodyText"/>
              <w:widowControl w:val="false"/>
              <w:bidi w:val="0"/>
              <w:jc w:val="start"/>
              <w:rPr/>
            </w:pPr>
            <w:r>
              <w:rPr/>
              <w:t xml:space="preserve">Account lifecycle activities, including account creation, modification, disabling, and removal, are logged using </w:t>
            </w:r>
            <w:r>
              <w:rPr>
                <w:b/>
              </w:rPr>
              <w:t>AWS CloudTrail</w:t>
            </w:r>
            <w:r>
              <w:rPr/>
              <w:t>. Periodic reviews are conducted to validate continued need for access, and accounts are promptly disabled or removed when access is no longer required.</w:t>
            </w:r>
          </w:p>
          <w:p>
            <w:pPr>
              <w:pStyle w:val="BodyText"/>
              <w:widowControl w:val="false"/>
              <w:bidi w:val="0"/>
              <w:jc w:val="start"/>
              <w:rPr/>
            </w:pPr>
            <w:r>
              <w:rPr>
                <w:b/>
              </w:rPr>
              <w:t>Customer Responsibility</w:t>
            </w:r>
          </w:p>
          <w:p>
            <w:pPr>
              <w:pStyle w:val="BodyText"/>
              <w:widowControl w:val="false"/>
              <w:bidi w:val="0"/>
              <w:spacing w:lineRule="auto" w:line="276" w:before="0" w:after="140"/>
              <w:jc w:val="start"/>
              <w:rPr/>
            </w:pPr>
            <w:r>
              <w:rPr/>
              <w:t>The customer is responsible for:</w:t>
            </w:r>
          </w:p>
          <w:p>
            <w:pPr>
              <w:pStyle w:val="BodyText"/>
              <w:widowControl w:val="false"/>
              <w:numPr>
                <w:ilvl w:val="0"/>
                <w:numId w:val="2"/>
              </w:numPr>
              <w:tabs>
                <w:tab w:val="left" w:pos="709" w:leader="none"/>
              </w:tabs>
              <w:bidi w:val="0"/>
              <w:ind w:hanging="283" w:start="709"/>
              <w:jc w:val="start"/>
              <w:rPr/>
            </w:pPr>
            <w:r>
              <w:rPr/>
              <w:t>Defining account provisioning, approval, and termination procedures</w:t>
            </w:r>
          </w:p>
          <w:p>
            <w:pPr>
              <w:pStyle w:val="BodyText"/>
              <w:widowControl w:val="false"/>
              <w:numPr>
                <w:ilvl w:val="0"/>
                <w:numId w:val="2"/>
              </w:numPr>
              <w:tabs>
                <w:tab w:val="left" w:pos="709" w:leader="none"/>
              </w:tabs>
              <w:bidi w:val="0"/>
              <w:ind w:hanging="283" w:start="709"/>
              <w:jc w:val="start"/>
              <w:rPr/>
            </w:pPr>
            <w:r>
              <w:rPr/>
              <w:t>Managing Cognito user pool configurations and user lifecycle actions</w:t>
            </w:r>
          </w:p>
          <w:p>
            <w:pPr>
              <w:pStyle w:val="BodyText"/>
              <w:widowControl w:val="false"/>
              <w:numPr>
                <w:ilvl w:val="0"/>
                <w:numId w:val="2"/>
              </w:numPr>
              <w:tabs>
                <w:tab w:val="left" w:pos="709" w:leader="none"/>
              </w:tabs>
              <w:bidi w:val="0"/>
              <w:ind w:hanging="283" w:start="709"/>
              <w:jc w:val="start"/>
              <w:rPr/>
            </w:pPr>
            <w:r>
              <w:rPr/>
              <w:t>Assigning and reviewing IAM roles and permissions in accordance with least privilege</w:t>
            </w:r>
          </w:p>
          <w:p>
            <w:pPr>
              <w:pStyle w:val="BodyText"/>
              <w:widowControl w:val="false"/>
              <w:numPr>
                <w:ilvl w:val="0"/>
                <w:numId w:val="2"/>
              </w:numPr>
              <w:tabs>
                <w:tab w:val="left" w:pos="709" w:leader="none"/>
              </w:tabs>
              <w:bidi w:val="0"/>
              <w:ind w:hanging="283" w:start="709"/>
              <w:jc w:val="start"/>
              <w:rPr/>
            </w:pPr>
            <w:r>
              <w:rPr/>
              <w:t>Enforcing MFA for privileged accounts</w:t>
            </w:r>
          </w:p>
          <w:p>
            <w:pPr>
              <w:pStyle w:val="BodyText"/>
              <w:widowControl w:val="false"/>
              <w:numPr>
                <w:ilvl w:val="0"/>
                <w:numId w:val="2"/>
              </w:numPr>
              <w:tabs>
                <w:tab w:val="left" w:pos="709" w:leader="none"/>
              </w:tabs>
              <w:bidi w:val="0"/>
              <w:ind w:hanging="283" w:start="709"/>
              <w:jc w:val="start"/>
              <w:rPr/>
            </w:pPr>
            <w:r>
              <w:rPr/>
              <w:t>Performing periodic access reviews</w:t>
            </w:r>
          </w:p>
          <w:p>
            <w:pPr>
              <w:pStyle w:val="BodyText"/>
              <w:widowControl w:val="false"/>
              <w:numPr>
                <w:ilvl w:val="0"/>
                <w:numId w:val="2"/>
              </w:numPr>
              <w:tabs>
                <w:tab w:val="left" w:pos="709" w:leader="none"/>
              </w:tabs>
              <w:bidi w:val="0"/>
              <w:ind w:hanging="283" w:start="709"/>
              <w:jc w:val="start"/>
              <w:rPr/>
            </w:pPr>
            <w:r>
              <w:rPr/>
              <w:t>Retaining and reviewing audit logs related to account activity</w:t>
            </w:r>
          </w:p>
          <w:p>
            <w:pPr>
              <w:pStyle w:val="BodyText"/>
              <w:widowControl w:val="false"/>
              <w:bidi w:val="0"/>
              <w:spacing w:lineRule="auto" w:line="276" w:before="0" w:after="140"/>
              <w:jc w:val="start"/>
              <w:rPr/>
            </w:pPr>
            <w:r>
              <w:rPr/>
              <w:t>AWS is responsible for the underlying operation and availability of Cognito, IAM, and CloudTrail services.</w:t>
            </w:r>
          </w:p>
        </w:tc>
      </w:tr>
    </w:tbl>
    <w:p>
      <w:pPr>
        <w:pStyle w:val="Normal"/>
        <w:bidi w:val="0"/>
        <w:jc w:val="start"/>
        <w:rPr/>
      </w:pPr>
      <w:r>
        <w:rPr/>
      </w:r>
    </w:p>
    <w:p>
      <w:pPr>
        <w:pStyle w:val="Normal"/>
        <w:bidi w:val="0"/>
        <w:jc w:val="start"/>
        <w:rPr/>
      </w:pPr>
      <w:r>
        <w:rPr/>
      </w:r>
    </w:p>
    <w:tbl>
      <w:tblPr>
        <w:tblW w:w="9350" w:type="dxa"/>
        <w:jc w:val="start"/>
        <w:tblInd w:w="0" w:type="dxa"/>
        <w:tblLayout w:type="fixed"/>
        <w:tblCellMar>
          <w:top w:w="0" w:type="dxa"/>
          <w:start w:w="108" w:type="dxa"/>
          <w:bottom w:w="0" w:type="dxa"/>
          <w:end w:w="108" w:type="dxa"/>
        </w:tblCellMar>
      </w:tblPr>
      <w:tblGrid>
        <w:gridCol w:w="9350"/>
      </w:tblGrid>
      <w:tr>
        <w:trPr/>
        <w:tc>
          <w:tcPr>
            <w:tcW w:w="9350" w:type="dxa"/>
            <w:tcBorders>
              <w:top w:val="single" w:sz="4" w:space="0" w:color="000000"/>
              <w:start w:val="single" w:sz="4" w:space="0" w:color="000000"/>
              <w:bottom w:val="single" w:sz="4" w:space="0" w:color="000000"/>
              <w:end w:val="single" w:sz="4" w:space="0" w:color="000000"/>
            </w:tcBorders>
            <w:shd w:fill="CCECFC" w:val="clear"/>
          </w:tcPr>
          <w:p>
            <w:pPr>
              <w:pStyle w:val="Normal"/>
              <w:widowControl w:val="false"/>
              <w:bidi w:val="0"/>
              <w:jc w:val="start"/>
              <w:rPr>
                <w:rFonts w:ascii="Arial" w:hAnsi="Arial" w:cs="Arial"/>
                <w:b/>
                <w:lang w:val="en-US"/>
              </w:rPr>
            </w:pPr>
            <w:r>
              <w:rPr>
                <w:rFonts w:cs="Arial" w:ascii="Arial" w:hAnsi="Arial"/>
                <w:b/>
                <w:lang w:val="en-US"/>
              </w:rPr>
              <w:t>SC-13 What is the solution and how is it implemented?</w:t>
            </w:r>
          </w:p>
        </w:tc>
      </w:tr>
      <w:tr>
        <w:trPr/>
        <w:tc>
          <w:tcPr>
            <w:tcW w:w="9350" w:type="dxa"/>
            <w:tcBorders>
              <w:top w:val="single" w:sz="4" w:space="0" w:color="000000"/>
              <w:start w:val="single" w:sz="4" w:space="0" w:color="000000"/>
              <w:bottom w:val="single" w:sz="4" w:space="0" w:color="000000"/>
              <w:end w:val="single" w:sz="4" w:space="0" w:color="000000"/>
            </w:tcBorders>
            <w:shd w:fill="FFFFFF" w:val="clear"/>
          </w:tcPr>
          <w:p>
            <w:pPr>
              <w:pStyle w:val="Heading3"/>
              <w:widowControl w:val="false"/>
              <w:bidi w:val="0"/>
              <w:spacing w:before="140" w:after="120"/>
              <w:jc w:val="start"/>
              <w:rPr>
                <w:rFonts w:ascii="Arial" w:hAnsi="Arial" w:cs="Arial"/>
                <w:b/>
                <w:lang w:val="en-US"/>
              </w:rPr>
            </w:pPr>
            <w:r>
              <w:rPr>
                <w:rFonts w:cs="Arial" w:ascii="Arial" w:hAnsi="Arial"/>
                <w:b/>
                <w:lang w:val="en-US"/>
              </w:rPr>
              <w:t>Control Implementation</w:t>
            </w:r>
          </w:p>
          <w:p>
            <w:pPr>
              <w:pStyle w:val="BodyText"/>
              <w:widowControl w:val="false"/>
              <w:bidi w:val="0"/>
              <w:spacing w:lineRule="auto" w:line="276" w:before="0" w:after="140"/>
              <w:jc w:val="start"/>
              <w:rPr/>
            </w:pPr>
            <w:r>
              <w:rPr/>
              <w:t>The system employs cryptographic mechanisms to protect the confidentiality and integrity of information in transit and at rest.</w:t>
            </w:r>
          </w:p>
          <w:p>
            <w:pPr>
              <w:pStyle w:val="BodyText"/>
              <w:widowControl w:val="false"/>
              <w:bidi w:val="0"/>
              <w:spacing w:lineRule="auto" w:line="276" w:before="0" w:after="140"/>
              <w:jc w:val="start"/>
              <w:rPr/>
            </w:pPr>
            <w:r>
              <w:rPr/>
              <w:t xml:space="preserve">All external and internal communications are encrypted using </w:t>
            </w:r>
            <w:r>
              <w:rPr>
                <w:b/>
              </w:rPr>
              <w:t>TLS 1.2 or higher</w:t>
            </w:r>
            <w:r>
              <w:rPr/>
              <w:t>, including client access to API Gateway, service-to-service communication through the Network Load Balancer, and integrations with AWS-managed services. Encryption is enforced using AWS-provided endpoints and configurations.</w:t>
            </w:r>
          </w:p>
          <w:p>
            <w:pPr>
              <w:pStyle w:val="BodyText"/>
              <w:widowControl w:val="false"/>
              <w:bidi w:val="0"/>
              <w:spacing w:lineRule="auto" w:line="276" w:before="0" w:after="140"/>
              <w:jc w:val="start"/>
              <w:rPr/>
            </w:pPr>
            <w:r>
              <w:rPr/>
              <w:t xml:space="preserve">Data at rest is encrypted using </w:t>
            </w:r>
            <w:r>
              <w:rPr>
                <w:b/>
              </w:rPr>
              <w:t>AWS Key Management Service (KMS)</w:t>
            </w:r>
            <w:r>
              <w:rPr/>
              <w:t xml:space="preserve"> with </w:t>
            </w:r>
            <w:r>
              <w:rPr>
                <w:b/>
              </w:rPr>
              <w:t>FIPS 140-2 validated cryptographic modules</w:t>
            </w:r>
            <w:r>
              <w:rPr/>
              <w:t xml:space="preserve">. Encryption at rest is enabled for </w:t>
            </w:r>
            <w:r>
              <w:rPr>
                <w:b/>
              </w:rPr>
              <w:t>Amazon S3</w:t>
            </w:r>
            <w:r>
              <w:rPr/>
              <w:t xml:space="preserve">, </w:t>
            </w:r>
            <w:r>
              <w:rPr>
                <w:b/>
              </w:rPr>
              <w:t>DynamoDB</w:t>
            </w:r>
            <w:r>
              <w:rPr/>
              <w:t xml:space="preserve">, and </w:t>
            </w:r>
            <w:r>
              <w:rPr>
                <w:b/>
              </w:rPr>
              <w:t>Kinesis Data Firehose</w:t>
            </w:r>
            <w:r>
              <w:rPr/>
              <w:t>. AWS Lambda environment variables and application secrets are protected using AWS encryption mechanisms and IAM-controlled access.</w:t>
            </w:r>
          </w:p>
          <w:p>
            <w:pPr>
              <w:pStyle w:val="BodyText"/>
              <w:widowControl w:val="false"/>
              <w:bidi w:val="0"/>
              <w:spacing w:lineRule="auto" w:line="276" w:before="0" w:after="140"/>
              <w:jc w:val="start"/>
              <w:rPr/>
            </w:pPr>
            <w:r>
              <w:rPr/>
              <w:t>Cryptographic key generation, storage, protection, and rotation are handled through AWS KMS. The system relies exclusively on AWS-managed cryptographic services and does not implement custom cryptographic algorithms or libraries.</w:t>
            </w:r>
          </w:p>
          <w:p>
            <w:pPr>
              <w:pStyle w:val="Heading3"/>
              <w:widowControl w:val="false"/>
              <w:bidi w:val="0"/>
              <w:jc w:val="start"/>
              <w:rPr/>
            </w:pPr>
            <w:r>
              <w:rPr>
                <w:b/>
              </w:rPr>
              <w:t>Customer Responsibility</w:t>
            </w:r>
          </w:p>
          <w:p>
            <w:pPr>
              <w:pStyle w:val="BodyText"/>
              <w:widowControl w:val="false"/>
              <w:bidi w:val="0"/>
              <w:spacing w:lineRule="auto" w:line="276" w:before="0" w:after="140"/>
              <w:jc w:val="start"/>
              <w:rPr/>
            </w:pPr>
            <w:r>
              <w:rPr/>
              <w:t>The customer is responsible for:</w:t>
            </w:r>
          </w:p>
          <w:p>
            <w:pPr>
              <w:pStyle w:val="BodyText"/>
              <w:widowControl w:val="false"/>
              <w:numPr>
                <w:ilvl w:val="0"/>
                <w:numId w:val="3"/>
              </w:numPr>
              <w:tabs>
                <w:tab w:val="left" w:pos="709" w:leader="none"/>
              </w:tabs>
              <w:bidi w:val="0"/>
              <w:ind w:hanging="283" w:start="709"/>
              <w:jc w:val="start"/>
              <w:rPr/>
            </w:pPr>
            <w:r>
              <w:rPr/>
              <w:t>Enabling and configuring encryption settings for all supported AWS services</w:t>
            </w:r>
          </w:p>
          <w:p>
            <w:pPr>
              <w:pStyle w:val="BodyText"/>
              <w:widowControl w:val="false"/>
              <w:numPr>
                <w:ilvl w:val="0"/>
                <w:numId w:val="3"/>
              </w:numPr>
              <w:tabs>
                <w:tab w:val="left" w:pos="709" w:leader="none"/>
              </w:tabs>
              <w:bidi w:val="0"/>
              <w:ind w:hanging="283" w:start="709"/>
              <w:jc w:val="start"/>
              <w:rPr/>
            </w:pPr>
            <w:r>
              <w:rPr/>
              <w:t>Managing KMS key policies, access controls, and rotation settings</w:t>
            </w:r>
          </w:p>
          <w:p>
            <w:pPr>
              <w:pStyle w:val="BodyText"/>
              <w:widowControl w:val="false"/>
              <w:numPr>
                <w:ilvl w:val="0"/>
                <w:numId w:val="3"/>
              </w:numPr>
              <w:tabs>
                <w:tab w:val="left" w:pos="709" w:leader="none"/>
              </w:tabs>
              <w:bidi w:val="0"/>
              <w:ind w:hanging="283" w:start="709"/>
              <w:jc w:val="start"/>
              <w:rPr/>
            </w:pPr>
            <w:r>
              <w:rPr/>
              <w:t>Ensuring TLS is enforced for all application endpoints</w:t>
            </w:r>
          </w:p>
          <w:p>
            <w:pPr>
              <w:pStyle w:val="BodyText"/>
              <w:widowControl w:val="false"/>
              <w:numPr>
                <w:ilvl w:val="0"/>
                <w:numId w:val="3"/>
              </w:numPr>
              <w:tabs>
                <w:tab w:val="left" w:pos="709" w:leader="none"/>
              </w:tabs>
              <w:bidi w:val="0"/>
              <w:ind w:hanging="283" w:start="709"/>
              <w:jc w:val="start"/>
              <w:rPr/>
            </w:pPr>
            <w:r>
              <w:rPr/>
              <w:t>Verifying that only AWS-approved cryptographic services are used</w:t>
            </w:r>
          </w:p>
          <w:p>
            <w:pPr>
              <w:pStyle w:val="BodyText"/>
              <w:widowControl w:val="false"/>
              <w:numPr>
                <w:ilvl w:val="0"/>
                <w:numId w:val="3"/>
              </w:numPr>
              <w:tabs>
                <w:tab w:val="left" w:pos="709" w:leader="none"/>
              </w:tabs>
              <w:bidi w:val="0"/>
              <w:ind w:hanging="283" w:start="709"/>
              <w:jc w:val="start"/>
              <w:rPr/>
            </w:pPr>
            <w:r>
              <w:rPr/>
              <w:t>Documenting cryptographic protections in the System Security Plan</w:t>
            </w:r>
          </w:p>
          <w:p>
            <w:pPr>
              <w:pStyle w:val="BodyText"/>
              <w:widowControl w:val="false"/>
              <w:bidi w:val="0"/>
              <w:spacing w:lineRule="auto" w:line="276" w:before="0" w:after="140"/>
              <w:jc w:val="start"/>
              <w:rPr/>
            </w:pPr>
            <w:r>
              <w:rPr/>
              <w:t>AWS is responsible for the implementation and validation of the underlying cryptographic modules and encryption mechanisms.</w:t>
            </w:r>
          </w:p>
        </w:tc>
      </w:tr>
    </w:tbl>
    <w:p>
      <w:pPr>
        <w:pStyle w:val="Normal"/>
        <w:bidi w:val="0"/>
        <w:jc w:val="start"/>
        <w:rPr/>
      </w:pPr>
      <w:r>
        <w:rPr/>
      </w:r>
    </w:p>
    <w:tbl>
      <w:tblPr>
        <w:tblW w:w="9264" w:type="dxa"/>
        <w:jc w:val="start"/>
        <w:tblInd w:w="86" w:type="dxa"/>
        <w:tblLayout w:type="fixed"/>
        <w:tblCellMar>
          <w:top w:w="0" w:type="dxa"/>
          <w:start w:w="108" w:type="dxa"/>
          <w:bottom w:w="0" w:type="dxa"/>
          <w:end w:w="108" w:type="dxa"/>
        </w:tblCellMar>
      </w:tblPr>
      <w:tblGrid>
        <w:gridCol w:w="9264"/>
      </w:tblGrid>
      <w:tr>
        <w:trPr/>
        <w:tc>
          <w:tcPr>
            <w:tcW w:w="9264" w:type="dxa"/>
            <w:tcBorders>
              <w:top w:val="single" w:sz="4" w:space="0" w:color="000000"/>
              <w:start w:val="single" w:sz="4" w:space="0" w:color="000000"/>
              <w:bottom w:val="single" w:sz="4" w:space="0" w:color="000000"/>
              <w:end w:val="single" w:sz="4" w:space="0" w:color="000000"/>
            </w:tcBorders>
            <w:shd w:fill="CCECFC" w:val="clear"/>
          </w:tcPr>
          <w:p>
            <w:pPr>
              <w:pStyle w:val="Normal"/>
              <w:widowControl w:val="false"/>
              <w:bidi w:val="0"/>
              <w:jc w:val="start"/>
              <w:rPr>
                <w:rFonts w:ascii="Arial" w:hAnsi="Arial" w:cs="Arial"/>
                <w:b/>
                <w:lang w:val="en-US"/>
              </w:rPr>
            </w:pPr>
            <w:r>
              <w:rPr>
                <w:rFonts w:cs="Arial" w:ascii="Arial" w:hAnsi="Arial"/>
                <w:b/>
                <w:lang w:val="en-US"/>
              </w:rPr>
              <w:t>SI-2 What is the solution and how is it implemented?</w:t>
            </w:r>
          </w:p>
        </w:tc>
      </w:tr>
      <w:tr>
        <w:trPr/>
        <w:tc>
          <w:tcPr>
            <w:tcW w:w="9264" w:type="dxa"/>
            <w:tcBorders>
              <w:top w:val="single" w:sz="4" w:space="0" w:color="000000"/>
              <w:start w:val="single" w:sz="4" w:space="0" w:color="000000"/>
              <w:bottom w:val="single" w:sz="4" w:space="0" w:color="000000"/>
              <w:end w:val="single" w:sz="4" w:space="0" w:color="000000"/>
            </w:tcBorders>
            <w:shd w:fill="FFFFFF" w:val="clear"/>
          </w:tcPr>
          <w:p>
            <w:pPr>
              <w:pStyle w:val="Heading3"/>
              <w:widowControl w:val="false"/>
              <w:bidi w:val="0"/>
              <w:spacing w:before="140" w:after="120"/>
              <w:jc w:val="start"/>
              <w:rPr>
                <w:rFonts w:ascii="Arial" w:hAnsi="Arial" w:cs="Arial"/>
                <w:b/>
                <w:lang w:val="en-US"/>
              </w:rPr>
            </w:pPr>
            <w:r>
              <w:rPr>
                <w:rFonts w:cs="Arial" w:ascii="Arial" w:hAnsi="Arial"/>
                <w:b/>
                <w:lang w:val="en-US"/>
              </w:rPr>
              <w:t>Control Implementation</w:t>
            </w:r>
          </w:p>
          <w:p>
            <w:pPr>
              <w:pStyle w:val="BodyText"/>
              <w:widowControl w:val="false"/>
              <w:bidi w:val="0"/>
              <w:spacing w:lineRule="auto" w:line="276" w:before="0" w:after="140"/>
              <w:jc w:val="start"/>
              <w:rPr/>
            </w:pPr>
            <w:r>
              <w:rPr/>
              <w:t>The system identifies, reports, and remediates information system flaws in a timely and controlled manner.</w:t>
            </w:r>
          </w:p>
          <w:p>
            <w:pPr>
              <w:pStyle w:val="BodyText"/>
              <w:widowControl w:val="false"/>
              <w:bidi w:val="0"/>
              <w:spacing w:lineRule="auto" w:line="276" w:before="0" w:after="140"/>
              <w:jc w:val="start"/>
              <w:rPr/>
            </w:pPr>
            <w:r>
              <w:rPr/>
              <w:t xml:space="preserve">Application code changes are managed through </w:t>
            </w:r>
            <w:r>
              <w:rPr>
                <w:b/>
              </w:rPr>
              <w:t>AWS CodeCommit</w:t>
            </w:r>
            <w:r>
              <w:rPr/>
              <w:t xml:space="preserve"> and deployed using an automated </w:t>
            </w:r>
            <w:r>
              <w:rPr>
                <w:b/>
              </w:rPr>
              <w:t>CI/CD pipeline</w:t>
            </w:r>
            <w:r>
              <w:rPr/>
              <w:t xml:space="preserve"> consisting of </w:t>
            </w:r>
            <w:r>
              <w:rPr>
                <w:b/>
              </w:rPr>
              <w:t>CodePipeline and CodeBuild</w:t>
            </w:r>
            <w:r>
              <w:rPr/>
              <w:t xml:space="preserve">. Security patches and fixes are incorporated into updated container images and deployed to </w:t>
            </w:r>
            <w:r>
              <w:rPr>
                <w:b/>
              </w:rPr>
              <w:t>AWS Fargate</w:t>
            </w:r>
            <w:r>
              <w:rPr/>
              <w:t>, allowing rapid remediation without manual server access.</w:t>
            </w:r>
          </w:p>
          <w:p>
            <w:pPr>
              <w:pStyle w:val="BodyText"/>
              <w:widowControl w:val="false"/>
              <w:bidi w:val="0"/>
              <w:spacing w:lineRule="auto" w:line="276" w:before="0" w:after="140"/>
              <w:jc w:val="start"/>
              <w:rPr/>
            </w:pPr>
            <w:r>
              <w:rPr/>
              <w:t>The system leverages containerized microservices and serverless components to support efficient redeployment of patched code. Identified vulnerabilities—whether discovered through vulnerability scanning, dependency analysis, or vendor security advisories—are prioritized based on severity and addressed within defined remediation timelines.</w:t>
            </w:r>
          </w:p>
          <w:p>
            <w:pPr>
              <w:pStyle w:val="BodyText"/>
              <w:widowControl w:val="false"/>
              <w:bidi w:val="0"/>
              <w:jc w:val="start"/>
              <w:rPr/>
            </w:pPr>
            <w:r>
              <w:rPr/>
              <w:t>AWS-managed services (including API Gateway, Lambda, DynamoDB, S3, Kinesis, and Fargate) are patched and maintained by AWS under the shared responsibility model. Evidence of remediation activities, including build logs and deployment records, is retained to support continuous monitoring and assessment activities. Exceptions or delayed remediation actions are documented and managed through formal risk acceptance procedures.</w:t>
            </w:r>
          </w:p>
          <w:p>
            <w:pPr>
              <w:pStyle w:val="BodyText"/>
              <w:widowControl w:val="false"/>
              <w:bidi w:val="0"/>
              <w:jc w:val="start"/>
              <w:rPr/>
            </w:pPr>
            <w:r>
              <w:rPr>
                <w:b/>
              </w:rPr>
              <w:t>Customer Responsibility</w:t>
            </w:r>
          </w:p>
          <w:p>
            <w:pPr>
              <w:pStyle w:val="BodyText"/>
              <w:widowControl w:val="false"/>
              <w:bidi w:val="0"/>
              <w:spacing w:lineRule="auto" w:line="276" w:before="0" w:after="140"/>
              <w:jc w:val="start"/>
              <w:rPr/>
            </w:pPr>
            <w:r>
              <w:rPr/>
              <w:t>The customer is responsible for:</w:t>
            </w:r>
          </w:p>
          <w:p>
            <w:pPr>
              <w:pStyle w:val="BodyText"/>
              <w:widowControl w:val="false"/>
              <w:numPr>
                <w:ilvl w:val="0"/>
                <w:numId w:val="4"/>
              </w:numPr>
              <w:tabs>
                <w:tab w:val="left" w:pos="709" w:leader="none"/>
              </w:tabs>
              <w:bidi w:val="0"/>
              <w:ind w:hanging="283" w:start="709"/>
              <w:jc w:val="start"/>
              <w:rPr/>
            </w:pPr>
            <w:r>
              <w:rPr/>
              <w:t>Monitoring vulnerability sources and scan results relevant to application code and dependencies</w:t>
            </w:r>
          </w:p>
          <w:p>
            <w:pPr>
              <w:pStyle w:val="BodyText"/>
              <w:widowControl w:val="false"/>
              <w:numPr>
                <w:ilvl w:val="0"/>
                <w:numId w:val="4"/>
              </w:numPr>
              <w:tabs>
                <w:tab w:val="left" w:pos="709" w:leader="none"/>
              </w:tabs>
              <w:bidi w:val="0"/>
              <w:ind w:hanging="283" w:start="709"/>
              <w:jc w:val="start"/>
              <w:rPr/>
            </w:pPr>
            <w:r>
              <w:rPr/>
              <w:t>Prioritizing and remediating identified flaws within established timelines</w:t>
            </w:r>
          </w:p>
          <w:p>
            <w:pPr>
              <w:pStyle w:val="BodyText"/>
              <w:widowControl w:val="false"/>
              <w:numPr>
                <w:ilvl w:val="0"/>
                <w:numId w:val="4"/>
              </w:numPr>
              <w:tabs>
                <w:tab w:val="left" w:pos="709" w:leader="none"/>
              </w:tabs>
              <w:bidi w:val="0"/>
              <w:ind w:hanging="283" w:start="709"/>
              <w:jc w:val="start"/>
              <w:rPr/>
            </w:pPr>
            <w:r>
              <w:rPr/>
              <w:t>Updating application code, container images, and configurations through the CI/CD pipeline</w:t>
            </w:r>
          </w:p>
          <w:p>
            <w:pPr>
              <w:pStyle w:val="BodyText"/>
              <w:widowControl w:val="false"/>
              <w:numPr>
                <w:ilvl w:val="0"/>
                <w:numId w:val="4"/>
              </w:numPr>
              <w:tabs>
                <w:tab w:val="left" w:pos="709" w:leader="none"/>
              </w:tabs>
              <w:bidi w:val="0"/>
              <w:ind w:hanging="283" w:start="709"/>
              <w:jc w:val="start"/>
              <w:rPr/>
            </w:pPr>
            <w:r>
              <w:rPr/>
              <w:t>Tracking remediation status and documenting exceptions or risk acceptances</w:t>
            </w:r>
          </w:p>
          <w:p>
            <w:pPr>
              <w:pStyle w:val="BodyText"/>
              <w:widowControl w:val="false"/>
              <w:numPr>
                <w:ilvl w:val="0"/>
                <w:numId w:val="4"/>
              </w:numPr>
              <w:tabs>
                <w:tab w:val="left" w:pos="709" w:leader="none"/>
              </w:tabs>
              <w:bidi w:val="0"/>
              <w:ind w:hanging="283" w:start="709"/>
              <w:jc w:val="start"/>
              <w:rPr/>
            </w:pPr>
            <w:r>
              <w:rPr/>
              <w:t>Maintaining evidence of flaw remediation activities</w:t>
            </w:r>
          </w:p>
          <w:p>
            <w:pPr>
              <w:pStyle w:val="BodyText"/>
              <w:widowControl w:val="false"/>
              <w:bidi w:val="0"/>
              <w:spacing w:lineRule="auto" w:line="276" w:before="0" w:after="140"/>
              <w:jc w:val="start"/>
              <w:rPr/>
            </w:pPr>
            <w:r>
              <w:rPr/>
              <w:t>AWS is responsible for patching and maintaining the underlying infrastructure and managed service components.</w:t>
            </w:r>
          </w:p>
        </w:tc>
      </w:tr>
    </w:tbl>
    <w:p>
      <w:pPr>
        <w:pStyle w:val="Normal"/>
        <w:bidi w:val="0"/>
        <w:jc w:val="start"/>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0" w:top="57" w:footer="0" w:bottom="5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ind w:hanging="0" w:start="0" w:end="360"/>
      <w:jc w:val="start"/>
      <w:rPr/>
    </w:pPr>
    <w:r>
      <w:rPr/>
    </w:r>
  </w:p>
  <w:p>
    <w:pPr>
      <w:pStyle w:val="Footer"/>
      <w:bidi w:val="0"/>
      <w:spacing w:lineRule="auto" w:line="240" w:before="0" w:after="0"/>
      <w:jc w:val="start"/>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bl>
    <w:tblPr>
      <w:tblW w:w="15840" w:type="dxa"/>
      <w:jc w:val="start"/>
      <w:tblInd w:w="-1440" w:type="dxa"/>
      <w:tblLayout w:type="fixed"/>
      <w:tblCellMar>
        <w:top w:w="86" w:type="dxa"/>
        <w:start w:w="86" w:type="dxa"/>
        <w:bottom w:w="86" w:type="dxa"/>
        <w:end w:w="86" w:type="dxa"/>
      </w:tblCellMar>
    </w:tblPr>
    <w:tblGrid>
      <w:gridCol w:w="9643"/>
      <w:gridCol w:w="6197"/>
    </w:tblGrid>
    <w:tr>
      <w:trPr>
        <w:trHeight w:val="361" w:hRule="atLeast"/>
      </w:trPr>
      <w:tc>
        <w:tcPr>
          <w:tcW w:w="9643" w:type="dxa"/>
          <w:tcBorders/>
          <w:shd w:fill="CCECFC" w:val="clear"/>
          <w:vAlign w:val="center"/>
        </w:tcPr>
        <w:p>
          <w:pPr>
            <w:pStyle w:val="Normal"/>
            <w:widowControl w:val="false"/>
            <w:bidi w:val="0"/>
            <w:ind w:hanging="0" w:start="1354" w:end="360"/>
            <w:jc w:val="start"/>
            <w:rPr/>
          </w:pPr>
          <w:r>
            <w:rPr/>
            <w:t>fedramp.gov</w:t>
          </w:r>
        </w:p>
      </w:tc>
      <w:tc>
        <w:tcPr>
          <w:tcW w:w="6197" w:type="dxa"/>
          <w:tcBorders/>
          <w:shd w:fill="CCECFC" w:val="clear"/>
          <w:vAlign w:val="center"/>
        </w:tcPr>
        <w:p>
          <w:pPr>
            <w:pStyle w:val="Normal"/>
            <w:widowControl w:val="false"/>
            <w:bidi w:val="0"/>
            <w:ind w:hanging="0" w:start="0" w:end="1249"/>
            <w:jc w:val="end"/>
            <w:rPr/>
          </w:pPr>
          <w:r>
            <w:rPr/>
          </w:r>
        </w:p>
      </w:tc>
    </w:tr>
  </w:tbl>
  <w:p>
    <w:pPr>
      <w:pStyle w:val="Normal"/>
      <w:bidi w:val="0"/>
      <w:spacing w:lineRule="auto" w:line="240" w:before="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ind w:hanging="0" w:start="0" w:end="360"/>
      <w:jc w:val="start"/>
      <w:rPr/>
    </w:pPr>
    <w:r>
      <w:rPr/>
    </w:r>
  </w:p>
  <w:p>
    <w:pPr>
      <w:pStyle w:val="Footer"/>
      <w:bidi w:val="0"/>
      <w:spacing w:lineRule="auto" w:line="240" w:before="0" w:after="0"/>
      <w:jc w:val="start"/>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bl>
    <w:tblPr>
      <w:tblW w:w="15840" w:type="dxa"/>
      <w:jc w:val="start"/>
      <w:tblInd w:w="-1440" w:type="dxa"/>
      <w:tblLayout w:type="fixed"/>
      <w:tblCellMar>
        <w:top w:w="86" w:type="dxa"/>
        <w:start w:w="86" w:type="dxa"/>
        <w:bottom w:w="86" w:type="dxa"/>
        <w:end w:w="86" w:type="dxa"/>
      </w:tblCellMar>
    </w:tblPr>
    <w:tblGrid>
      <w:gridCol w:w="9643"/>
      <w:gridCol w:w="6197"/>
    </w:tblGrid>
    <w:tr>
      <w:trPr>
        <w:trHeight w:val="361" w:hRule="atLeast"/>
      </w:trPr>
      <w:tc>
        <w:tcPr>
          <w:tcW w:w="9643" w:type="dxa"/>
          <w:tcBorders/>
          <w:shd w:fill="CCECFC" w:val="clear"/>
          <w:vAlign w:val="center"/>
        </w:tcPr>
        <w:p>
          <w:pPr>
            <w:pStyle w:val="Normal"/>
            <w:widowControl w:val="false"/>
            <w:bidi w:val="0"/>
            <w:ind w:hanging="0" w:start="1354" w:end="360"/>
            <w:jc w:val="start"/>
            <w:rPr/>
          </w:pPr>
          <w:r>
            <w:rPr/>
            <w:t>fedramp.gov</w:t>
          </w:r>
        </w:p>
      </w:tc>
      <w:tc>
        <w:tcPr>
          <w:tcW w:w="6197" w:type="dxa"/>
          <w:tcBorders/>
          <w:shd w:fill="CCECFC" w:val="clear"/>
          <w:vAlign w:val="center"/>
        </w:tcPr>
        <w:p>
          <w:pPr>
            <w:pStyle w:val="Normal"/>
            <w:widowControl w:val="false"/>
            <w:bidi w:val="0"/>
            <w:ind w:hanging="0" w:start="0" w:end="1249"/>
            <w:jc w:val="end"/>
            <w:rPr/>
          </w:pPr>
          <w:r>
            <w:rPr/>
          </w:r>
        </w:p>
      </w:tc>
    </w:tr>
  </w:tbl>
  <w:p>
    <w:pPr>
      <w:pStyle w:val="Normal"/>
      <w:bidi w:val="0"/>
      <w:spacing w:lineRule="auto" w:line="240" w:before="0" w:after="0"/>
      <w:jc w:val="star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8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40" w:before="0" w:after="0"/>
      <w:jc w:val="start"/>
      <w:rPr/>
    </w:pPr>
    <w:r>
      <w:rPr/>
    </w:r>
  </w:p>
  <w:tbl>
    <w:tblPr>
      <w:tblW w:w="12235" w:type="dxa"/>
      <w:jc w:val="start"/>
      <w:tblInd w:w="-1440" w:type="dxa"/>
      <w:tblLayout w:type="fixed"/>
      <w:tblCellMar>
        <w:top w:w="90" w:type="dxa"/>
        <w:start w:w="90" w:type="dxa"/>
        <w:bottom w:w="90" w:type="dxa"/>
        <w:end w:w="90" w:type="dxa"/>
      </w:tblCellMar>
    </w:tblPr>
    <w:tblGrid>
      <w:gridCol w:w="2783"/>
      <w:gridCol w:w="9452"/>
    </w:tblGrid>
    <w:tr>
      <w:trPr>
        <w:trHeight w:val="1080" w:hRule="atLeast"/>
      </w:trPr>
      <w:tc>
        <w:tcPr>
          <w:tcW w:w="2783" w:type="dxa"/>
          <w:tcBorders>
            <w:top w:val="single" w:sz="12" w:space="0" w:color="1A4480"/>
            <w:start w:val="single" w:sz="4" w:space="0" w:color="000000"/>
            <w:bottom w:val="single" w:sz="4" w:space="0" w:color="000000"/>
            <w:end w:val="single" w:sz="12" w:space="0" w:color="1A4480"/>
          </w:tcBorders>
          <w:shd w:fill="1A4480" w:val="clear"/>
          <w:vAlign w:val="center"/>
        </w:tcPr>
        <w:p>
          <w:pPr>
            <w:pStyle w:val="Normal"/>
            <w:widowControl w:val="false"/>
            <w:bidi w:val="0"/>
            <w:ind w:hanging="0" w:start="1340" w:end="1305"/>
            <w:jc w:val="start"/>
            <w:rPr/>
          </w:pPr>
          <w:r>
            <w:rPr/>
            <w:drawing>
              <wp:inline distT="0" distB="0" distL="0" distR="0">
                <wp:extent cx="676275" cy="44767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rcRect l="-7906" t="-12157" r="-4314" b="-12063"/>
                        <a:stretch>
                          <a:fillRect/>
                        </a:stretch>
                      </pic:blipFill>
                      <pic:spPr bwMode="auto">
                        <a:xfrm>
                          <a:off x="0" y="0"/>
                          <a:ext cx="676275" cy="447675"/>
                        </a:xfrm>
                        <a:prstGeom prst="rect">
                          <a:avLst/>
                        </a:prstGeom>
                        <a:noFill/>
                      </pic:spPr>
                    </pic:pic>
                  </a:graphicData>
                </a:graphic>
              </wp:inline>
            </w:drawing>
          </w:r>
        </w:p>
      </w:tc>
      <w:tc>
        <w:tcPr>
          <w:tcW w:w="9452" w:type="dxa"/>
          <w:tcBorders>
            <w:top w:val="single" w:sz="12" w:space="0" w:color="1A4480"/>
            <w:start w:val="single" w:sz="12" w:space="0" w:color="1A4480"/>
            <w:bottom w:val="single" w:sz="4" w:space="0" w:color="000000"/>
            <w:end w:val="single" w:sz="12" w:space="0" w:color="1A4480"/>
          </w:tcBorders>
          <w:shd w:fill="1A4480" w:val="clear"/>
          <w:tcMar>
            <w:top w:w="100" w:type="dxa"/>
            <w:start w:w="100" w:type="dxa"/>
            <w:bottom w:w="100" w:type="dxa"/>
            <w:end w:w="100" w:type="dxa"/>
          </w:tcMar>
          <w:vAlign w:val="center"/>
        </w:tcPr>
        <w:p>
          <w:pPr>
            <w:pStyle w:val="Header"/>
            <w:widowControl w:val="false"/>
            <w:bidi w:val="0"/>
            <w:spacing w:lineRule="auto" w:line="288" w:before="80" w:after="80"/>
            <w:ind w:hanging="0" w:start="518" w:end="1310"/>
            <w:jc w:val="end"/>
            <w:rPr/>
          </w:pPr>
          <w:r>
            <w:rPr/>
            <w:t>FedRAMP® &lt;Choose: High, Moderate, Low, LI-SaaS&gt; Baseline System Security Plan (SSP)</w:t>
          </w:r>
        </w:p>
        <w:p>
          <w:pPr>
            <w:pStyle w:val="Header"/>
            <w:widowControl w:val="false"/>
            <w:bidi w:val="0"/>
            <w:spacing w:lineRule="auto" w:line="288" w:before="80" w:after="80"/>
            <w:ind w:hanging="0" w:start="518" w:end="1310"/>
            <w:jc w:val="end"/>
            <w:rPr/>
          </w:pPr>
          <w:r>
            <w:rPr/>
            <w:fldChar w:fldCharType="begin"/>
          </w:r>
          <w:r>
            <w:rPr/>
            <w:instrText xml:space="preserve"> FILLIN ""</w:instrText>
          </w:r>
          <w:r>
            <w:rPr/>
            <w:fldChar w:fldCharType="separate"/>
          </w:r>
          <w:r>
            <w:rPr/>
            <w:t>&lt;Insert CSP Name&gt;</w:t>
          </w:r>
          <w:r>
            <w:rPr/>
            <w:fldChar w:fldCharType="end"/>
          </w:r>
          <w:r>
            <w:rPr>
              <w:sz w:val="15"/>
              <w:szCs w:val="15"/>
            </w:rPr>
            <w:t xml:space="preserve"> | </w:t>
          </w:r>
          <w:r>
            <w:rPr/>
            <w:fldChar w:fldCharType="begin"/>
          </w:r>
          <w:r>
            <w:rPr/>
            <w:instrText xml:space="preserve"> FILLIN ""</w:instrText>
          </w:r>
          <w:r>
            <w:rPr/>
            <w:fldChar w:fldCharType="separate"/>
          </w:r>
          <w:r>
            <w:rPr/>
            <w:t>&lt;Insert CSO Name&gt;</w:t>
          </w:r>
          <w:r>
            <w:rPr/>
            <w:fldChar w:fldCharType="end"/>
          </w:r>
          <w:r>
            <w:rPr>
              <w:sz w:val="15"/>
              <w:szCs w:val="15"/>
            </w:rPr>
            <w:t xml:space="preserve"> | </w:t>
          </w:r>
          <w:r>
            <w:rPr/>
            <w:fldChar w:fldCharType="begin"/>
          </w:r>
          <w:r>
            <w:rPr/>
            <w:instrText xml:space="preserve"> FILLIN ""</w:instrText>
          </w:r>
          <w:r>
            <w:rPr/>
            <w:fldChar w:fldCharType="separate"/>
          </w:r>
          <w:r>
            <w:rPr/>
            <w:t>&lt;Insert Version X.X&gt;</w:t>
          </w:r>
          <w:r>
            <w:rPr/>
            <w:fldChar w:fldCharType="end"/>
          </w:r>
          <w:r>
            <w:rPr>
              <w:sz w:val="15"/>
              <w:szCs w:val="15"/>
            </w:rPr>
            <w:t xml:space="preserve"> | &lt;I</w:t>
          </w:r>
          <w:sdt>
            <w:sdtPr>
              <w:date w:fullDate="&lt;Insert MM/DD/YYYY&gt;T00:00:00Z">
                <w:dateFormat w:val="M/d/yyyy"/>
                <w:lid w:val="en-US"/>
              </w:date>
            </w:sdtPr>
            <w:sdtContent>
              <w:r>
                <w:rPr>
                  <w:sz w:val="15"/>
                  <w:szCs w:val="15"/>
                </w:rPr>
              </w:r>
              <w:r>
                <w:rPr>
                  <w:sz w:val="15"/>
                  <w:szCs w:val="15"/>
                </w:rPr>
                <w:t>nsert MM/DD/YYYY&gt;</w:t>
              </w:r>
            </w:sdtContent>
          </w:sdt>
        </w:p>
      </w:tc>
    </w:tr>
  </w:tbl>
  <w:p>
    <w:pPr>
      <w:pStyle w:val="Normal"/>
      <w:tabs>
        <w:tab w:val="clear" w:pos="709"/>
        <w:tab w:val="left" w:pos="3645" w:leader="none"/>
        <w:tab w:val="left" w:pos="6463" w:leader="none"/>
      </w:tabs>
      <w:bidi w:val="0"/>
      <w:spacing w:before="80" w:after="360"/>
      <w:jc w:val="start"/>
      <w:rPr/>
    </w:pPr>
    <w:r>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40" w:before="0" w:after="0"/>
      <w:jc w:val="start"/>
      <w:rPr/>
    </w:pPr>
    <w:r>
      <w:rPr/>
    </w:r>
  </w:p>
  <w:tbl>
    <w:tblPr>
      <w:tblW w:w="12235" w:type="dxa"/>
      <w:jc w:val="start"/>
      <w:tblInd w:w="-1440" w:type="dxa"/>
      <w:tblLayout w:type="fixed"/>
      <w:tblCellMar>
        <w:top w:w="90" w:type="dxa"/>
        <w:start w:w="90" w:type="dxa"/>
        <w:bottom w:w="90" w:type="dxa"/>
        <w:end w:w="90" w:type="dxa"/>
      </w:tblCellMar>
    </w:tblPr>
    <w:tblGrid>
      <w:gridCol w:w="2783"/>
      <w:gridCol w:w="9452"/>
    </w:tblGrid>
    <w:tr>
      <w:trPr>
        <w:trHeight w:val="1080" w:hRule="atLeast"/>
      </w:trPr>
      <w:tc>
        <w:tcPr>
          <w:tcW w:w="2783" w:type="dxa"/>
          <w:tcBorders>
            <w:top w:val="single" w:sz="12" w:space="0" w:color="1A4480"/>
            <w:start w:val="single" w:sz="4" w:space="0" w:color="000000"/>
            <w:bottom w:val="single" w:sz="4" w:space="0" w:color="000000"/>
            <w:end w:val="single" w:sz="12" w:space="0" w:color="1A4480"/>
          </w:tcBorders>
          <w:shd w:fill="1A4480" w:val="clear"/>
          <w:vAlign w:val="center"/>
        </w:tcPr>
        <w:p>
          <w:pPr>
            <w:pStyle w:val="Normal"/>
            <w:widowControl w:val="false"/>
            <w:bidi w:val="0"/>
            <w:ind w:hanging="0" w:start="1340" w:end="1305"/>
            <w:jc w:val="start"/>
            <w:rPr/>
          </w:pPr>
          <w:r>
            <w:rPr/>
            <w:drawing>
              <wp:inline distT="0" distB="0" distL="0" distR="0">
                <wp:extent cx="676275" cy="44767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
                        <a:srcRect l="-7906" t="-12157" r="-4314" b="-12063"/>
                        <a:stretch>
                          <a:fillRect/>
                        </a:stretch>
                      </pic:blipFill>
                      <pic:spPr bwMode="auto">
                        <a:xfrm>
                          <a:off x="0" y="0"/>
                          <a:ext cx="676275" cy="447675"/>
                        </a:xfrm>
                        <a:prstGeom prst="rect">
                          <a:avLst/>
                        </a:prstGeom>
                        <a:noFill/>
                      </pic:spPr>
                    </pic:pic>
                  </a:graphicData>
                </a:graphic>
              </wp:inline>
            </w:drawing>
          </w:r>
        </w:p>
      </w:tc>
      <w:tc>
        <w:tcPr>
          <w:tcW w:w="9452" w:type="dxa"/>
          <w:tcBorders>
            <w:top w:val="single" w:sz="12" w:space="0" w:color="1A4480"/>
            <w:start w:val="single" w:sz="12" w:space="0" w:color="1A4480"/>
            <w:bottom w:val="single" w:sz="4" w:space="0" w:color="000000"/>
            <w:end w:val="single" w:sz="12" w:space="0" w:color="1A4480"/>
          </w:tcBorders>
          <w:shd w:fill="1A4480" w:val="clear"/>
          <w:tcMar>
            <w:top w:w="100" w:type="dxa"/>
            <w:start w:w="100" w:type="dxa"/>
            <w:bottom w:w="100" w:type="dxa"/>
            <w:end w:w="100" w:type="dxa"/>
          </w:tcMar>
          <w:vAlign w:val="center"/>
        </w:tcPr>
        <w:p>
          <w:pPr>
            <w:pStyle w:val="Header"/>
            <w:widowControl w:val="false"/>
            <w:bidi w:val="0"/>
            <w:spacing w:lineRule="auto" w:line="288" w:before="80" w:after="80"/>
            <w:ind w:hanging="0" w:start="518" w:end="1310"/>
            <w:jc w:val="end"/>
            <w:rPr/>
          </w:pPr>
          <w:r>
            <w:rPr/>
            <w:t>FedRAMP® &lt;Choose: High, Moderate, Low, LI-SaaS&gt; Baseline System Security Plan (SSP)</w:t>
          </w:r>
        </w:p>
        <w:p>
          <w:pPr>
            <w:pStyle w:val="Header"/>
            <w:widowControl w:val="false"/>
            <w:bidi w:val="0"/>
            <w:spacing w:lineRule="auto" w:line="288" w:before="80" w:after="80"/>
            <w:ind w:hanging="0" w:start="518" w:end="1310"/>
            <w:jc w:val="end"/>
            <w:rPr/>
          </w:pPr>
          <w:r>
            <w:rPr/>
            <w:fldChar w:fldCharType="begin"/>
          </w:r>
          <w:r>
            <w:rPr/>
            <w:instrText xml:space="preserve"> FILLIN ""</w:instrText>
          </w:r>
          <w:r>
            <w:rPr/>
            <w:fldChar w:fldCharType="separate"/>
          </w:r>
          <w:r>
            <w:rPr/>
            <w:t>&lt;Insert CSP Name&gt;</w:t>
          </w:r>
          <w:r>
            <w:rPr/>
            <w:fldChar w:fldCharType="end"/>
          </w:r>
          <w:r>
            <w:rPr>
              <w:sz w:val="15"/>
              <w:szCs w:val="15"/>
            </w:rPr>
            <w:t xml:space="preserve"> | </w:t>
          </w:r>
          <w:r>
            <w:rPr/>
            <w:fldChar w:fldCharType="begin"/>
          </w:r>
          <w:r>
            <w:rPr/>
            <w:instrText xml:space="preserve"> FILLIN ""</w:instrText>
          </w:r>
          <w:r>
            <w:rPr/>
            <w:fldChar w:fldCharType="separate"/>
          </w:r>
          <w:r>
            <w:rPr/>
            <w:t>&lt;Insert CSO Name&gt;</w:t>
          </w:r>
          <w:r>
            <w:rPr/>
            <w:fldChar w:fldCharType="end"/>
          </w:r>
          <w:r>
            <w:rPr>
              <w:sz w:val="15"/>
              <w:szCs w:val="15"/>
            </w:rPr>
            <w:t xml:space="preserve"> | </w:t>
          </w:r>
          <w:r>
            <w:rPr/>
            <w:fldChar w:fldCharType="begin"/>
          </w:r>
          <w:r>
            <w:rPr/>
            <w:instrText xml:space="preserve"> FILLIN ""</w:instrText>
          </w:r>
          <w:r>
            <w:rPr/>
            <w:fldChar w:fldCharType="separate"/>
          </w:r>
          <w:r>
            <w:rPr/>
            <w:t>&lt;Insert Version X.X&gt;</w:t>
          </w:r>
          <w:r>
            <w:rPr/>
            <w:fldChar w:fldCharType="end"/>
          </w:r>
          <w:r>
            <w:rPr>
              <w:sz w:val="15"/>
              <w:szCs w:val="15"/>
            </w:rPr>
            <w:t xml:space="preserve"> | &lt;I</w:t>
          </w:r>
          <w:sdt>
            <w:sdtPr>
              <w:date w:fullDate="&lt;Insert MM/DD/YYYY&gt;T00:00:00Z">
                <w:dateFormat w:val="M/d/yyyy"/>
                <w:lid w:val="en-US"/>
              </w:date>
            </w:sdtPr>
            <w:sdtContent>
              <w:r>
                <w:rPr>
                  <w:sz w:val="15"/>
                  <w:szCs w:val="15"/>
                </w:rPr>
              </w:r>
              <w:r>
                <w:rPr>
                  <w:sz w:val="15"/>
                  <w:szCs w:val="15"/>
                </w:rPr>
                <w:t>nsert MM/DD/YYYY&gt;</w:t>
              </w:r>
            </w:sdtContent>
          </w:sdt>
        </w:p>
      </w:tc>
    </w:tr>
  </w:tbl>
  <w:p>
    <w:pPr>
      <w:pStyle w:val="Normal"/>
      <w:tabs>
        <w:tab w:val="clear" w:pos="709"/>
        <w:tab w:val="left" w:pos="3645" w:leader="none"/>
        <w:tab w:val="left" w:pos="6463" w:leader="none"/>
      </w:tabs>
      <w:bidi w:val="0"/>
      <w:spacing w:before="80" w:after="360"/>
      <w:jc w:val="start"/>
      <w:rPr/>
    </w:pP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Normal"/>
    <w:next w:val="Normal"/>
    <w:qFormat/>
    <w:pPr>
      <w:keepNext w:val="true"/>
      <w:keepLines/>
      <w:widowControl w:val="false"/>
      <w:numPr>
        <w:ilvl w:val="0"/>
        <w:numId w:val="1"/>
      </w:numPr>
      <w:spacing w:before="720" w:after="160"/>
      <w:outlineLvl w:val="0"/>
    </w:pPr>
    <w:rPr>
      <w:color w:val="19447F"/>
      <w:sz w:val="40"/>
      <w:szCs w:val="44"/>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DefaultParagraphFont">
    <w:name w:val="Default Paragraph Font"/>
    <w:qFormat/>
    <w:rPr/>
  </w:style>
  <w:style w:type="character" w:styleId="Hyperlink">
    <w:name w:val="Hyperlink"/>
    <w:basedOn w:val="DefaultParagraphFont"/>
    <w:rPr>
      <w:color w:val="1A4480"/>
      <w:u w:val="single"/>
    </w:rPr>
  </w:style>
  <w:style w:type="character" w:styleId="FollowedHyperlink">
    <w:name w:val="FollowedHyperlink"/>
    <w:basedOn w:val="DefaultParagraphFont"/>
    <w:rPr>
      <w:color w:val="A00A0F"/>
      <w:u w:val="single"/>
    </w:rPr>
  </w:style>
  <w:style w:type="character" w:styleId="PageNumber">
    <w:name w:val="page number"/>
    <w:basedOn w:val="DefaultParagraphFont"/>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Normal"/>
    <w:next w:val="Normal"/>
    <w:qFormat/>
    <w:pPr>
      <w:keepNext w:val="true"/>
      <w:keepLines/>
      <w:spacing w:lineRule="auto" w:line="240" w:before="0" w:after="480"/>
      <w:jc w:val="center"/>
    </w:pPr>
    <w:rPr>
      <w:color w:val="1A98C5"/>
      <w:sz w:val="78"/>
      <w:szCs w:val="78"/>
      <w:lang w:val="en-US"/>
    </w:rPr>
  </w:style>
  <w:style w:type="paragraph" w:styleId="Subtitle">
    <w:name w:val="Subtitle"/>
    <w:basedOn w:val="Normal"/>
    <w:next w:val="Normal"/>
    <w:qFormat/>
    <w:pPr>
      <w:keepNext w:val="true"/>
      <w:keepLines/>
      <w:spacing w:lineRule="auto" w:line="240" w:before="0" w:after="1120"/>
      <w:jc w:val="center"/>
    </w:pPr>
    <w:rPr>
      <w:b/>
      <w:color w:val="19447F"/>
      <w:sz w:val="36"/>
      <w:szCs w:val="36"/>
    </w:rPr>
  </w:style>
  <w:style w:type="paragraph" w:styleId="Tabletextlight">
    <w:name w:val="Table text_light"/>
    <w:basedOn w:val="Normal"/>
    <w:qFormat/>
    <w:pPr>
      <w:spacing w:before="60" w:after="60"/>
    </w:pPr>
    <w:rPr>
      <w:rFonts w:ascii="Arial" w:hAnsi="Arial" w:cs="Calibri"/>
      <w:color w:val="808080"/>
    </w:rPr>
  </w:style>
  <w:style w:type="paragraph" w:styleId="tabletitle">
    <w:name w:val="table title"/>
    <w:basedOn w:val="Normal"/>
    <w:qFormat/>
    <w:pPr>
      <w:spacing w:lineRule="auto" w:line="240" w:before="0" w:after="200"/>
    </w:pPr>
    <w:rPr>
      <w:i/>
      <w:color w:val="162E51"/>
      <w:sz w:val="18"/>
      <w:szCs w:val="18"/>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widowControl w:val="false"/>
      <w:spacing w:lineRule="auto" w:line="240" w:before="80" w:after="0"/>
      <w:ind w:hanging="0" w:start="1350" w:end="1305"/>
    </w:pPr>
    <w:rPr>
      <w:color w:val="CCECFC"/>
      <w:sz w:val="18"/>
      <w:szCs w:val="18"/>
    </w:rPr>
  </w:style>
  <w:style w:type="paragraph" w:styleId="Footer">
    <w:name w:val="footer"/>
    <w:basedOn w:val="Normal"/>
    <w:pPr>
      <w:tabs>
        <w:tab w:val="clear" w:pos="709"/>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LibreOffice/25.8.4.2$Linux_X86_64 LibreOffice_project/0366609b1de41a39e1896ae41e33c673f2a73802</Application>
  <AppVersion>15.0000</AppVersion>
  <Pages>7</Pages>
  <Words>1159</Words>
  <Characters>7241</Characters>
  <CharactersWithSpaces>8311</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2026-01-28T16:53:32Z</dcterms:created>
  <dc:creator/>
  <dc:description/>
  <dc:language>en-US</dc:language>
  <cp:lastModifiedBy/>
  <dcterms:modified xsi:type="dcterms:W3CDTF">2026-02-16T15:23:15Z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