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Nora Enterprise</w:t>
        <w:br/>
        <w:t>Health Assistant</w:t>
      </w:r>
    </w:p>
    <w:p>
      <w:pPr>
        <w:pStyle w:val="Subtitle"/>
      </w:pPr>
      <w:r>
        <w:t>Product Requirements and Implementation Specification</w:t>
      </w:r>
    </w:p>
    <w:p>
      <w:r>
        <w:t>Version 1.0</w:t>
        <w:br/>
        <w:t>12 October 2026</w:t>
        <w:br/>
        <w:t>Prepared for product engineering clinical operations and enterprise stakeholders</w:t>
      </w:r>
    </w:p>
    <w:p>
      <w:r>
        <w:t>Nora helps patients describe a health concern, understand a reviewed assessment, and reach appropriate care. This specification defines the enterprise product, its brand and experience standards, functional requirements, proposed technology, measurable acceptance criteria, and evidence required for release.</w:t>
      </w:r>
    </w:p>
    <w:p>
      <w:r>
        <w:t>The delivery strategy is a bounded patient pilot supported by clinical governance and enterprise administration. Voice, report extraction, medication guidance, and clinical integrations are specified end to end but enabled only in the release phase where their dependencies and validation are complete.</w:t>
      </w:r>
    </w:p>
    <w:tbl>
      <w:tblPr>
        <w:tblW w:type="auto" w:w="0"/>
        <w:jc w:val="center"/>
        <w:tblLayout w:type="fixed"/>
        <w:tblLook w:firstColumn="1" w:firstRow="1" w:lastColumn="0" w:lastRow="0" w:noHBand="0" w:noVBand="1" w:val="04A0"/>
      </w:tblPr>
      <w:tblGrid>
        <w:gridCol w:w="2880"/>
        <w:gridCol w:w="7056"/>
      </w:tblGrid>
      <w:tr>
        <w:trPr>
          <w:cantSplit/>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Document control</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Value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Product</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Nora Enterprise Health Assistant</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Product sponsor</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Enterprise healthcare organization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Delivery partner</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Valnora &amp; Elric</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Status</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Proposed implementation baseline for stakeholder review</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Accountable owners</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Product owner, engineering lead, clinical lead, security lead</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Release model</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P0 controlled pilot, P1 care operations, P2 advanced clinical capabilities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Requirement convention</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F01 to F32 feature IDs; AC observable behaviour; DoD completion evidence</w:t>
            </w:r>
          </w:p>
        </w:tc>
      </w:tr>
    </w:tbl>
    <w:p/>
    <w:p>
      <w:r>
        <w:t>All numeric performance and quality thresholds in this document are proposed product targets, not measured results. Legal applicability, clinical scope, contracts, and launch region must be approved before patient deployment.</w:t>
      </w:r>
    </w:p>
    <w:p>
      <w:pPr>
        <w:pStyle w:val="Heading1"/>
        <w:pageBreakBefore/>
      </w:pPr>
      <w:r>
        <w:t>Document guide</w:t>
      </w:r>
    </w:p>
    <w:p>
      <w:r>
        <w:t>Read Sections 1 and 2 before designing screens or components. Sections 3 to 5 establish scope, journeys, and architecture. Section 6 is the implementation backlog. Sections 7 to 11 define shared contracts, validation, release, and decisions. Word headings support navigation through the document.</w:t>
      </w:r>
    </w:p>
    <w:p>
      <w:r>
        <w:t>1 Enterprise branding guidelines</w:t>
      </w:r>
    </w:p>
    <w:p>
      <w:r>
        <w:t>2 User experience guidelines</w:t>
      </w:r>
    </w:p>
    <w:p>
      <w:r>
        <w:t>3 Product scope and operating model</w:t>
      </w:r>
    </w:p>
    <w:p>
      <w:r>
        <w:t>4 End to end journeys</w:t>
      </w:r>
    </w:p>
    <w:p>
      <w:r>
        <w:t>5 Proposed technology and architecture</w:t>
      </w:r>
    </w:p>
    <w:p>
      <w:r>
        <w:t>6 Detailed feature requirements</w:t>
      </w:r>
    </w:p>
    <w:p>
      <w:r>
        <w:t>7 Data model and API contracts</w:t>
      </w:r>
    </w:p>
    <w:p>
      <w:r>
        <w:t>8 Nonfunctional and security requirements</w:t>
      </w:r>
    </w:p>
    <w:p>
      <w:r>
        <w:t>9 Clinical governance and validation</w:t>
      </w:r>
    </w:p>
    <w:p>
      <w:r>
        <w:t>10 Delivery plan and release definition of done</w:t>
      </w:r>
    </w:p>
    <w:p>
      <w:r>
        <w:t>11 Decisions dependencies and reference sources</w:t>
      </w:r>
    </w:p>
    <w:tbl>
      <w:tblPr>
        <w:tblW w:type="auto" w:w="0"/>
        <w:jc w:val="center"/>
        <w:tblLayout w:type="fixed"/>
        <w:tblLook w:firstColumn="1" w:firstRow="1" w:lastColumn="0" w:lastRow="0" w:noHBand="0" w:noVBand="1" w:val="04A0"/>
      </w:tblPr>
      <w:tblGrid>
        <w:gridCol w:w="1008"/>
        <w:gridCol w:w="2448"/>
        <w:gridCol w:w="6480"/>
      </w:tblGrid>
      <w:tr>
        <w:trPr>
          <w:cantSplit/>
          <w:tblHeader/>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Release</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Purpose</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Scope</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P0</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Controlled patient pilot</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Brand, accessibility, identity, profile, text intake, questioning, urgency, bounded assessment, sources, next steps, history, doctor discovery, booking handoff, clinical review, content governance, tenant administration, security and operations</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P1</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Connected care operations</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Voice, reports, live appointments, reminders, provider schedules, clinician notes and consented sharing, validated languages</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P2</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Advanced enterprise capabilities</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Medication guidance beyond education, clinical record integration, optional payment collection, delegated caregiver access</w:t>
            </w:r>
          </w:p>
        </w:tc>
      </w:tr>
    </w:tbl>
    <w:p/>
    <w:p>
      <w:r>
        <w:t>Features that appear in the references are retained as product components. Provider portals, clinical approval tools, enterprise controls, and integration services extend the visible interface into an operable enterprise solution. They must not be treated as already implemented capabilities.</w:t>
      </w:r>
    </w:p>
    <w:p>
      <w:pPr>
        <w:pStyle w:val="Heading1"/>
        <w:pageBreakBefore/>
      </w:pPr>
      <w:r>
        <w:t>1 Enterprise branding guidelines</w:t>
      </w:r>
    </w:p>
    <w:p>
      <w:pPr>
        <w:pStyle w:val="Heading2"/>
      </w:pPr>
      <w:r>
        <w:t>1 1 Brand purpose and positioning</w:t>
      </w:r>
    </w:p>
    <w:p>
      <w:r>
        <w:t>Nora is the product brand. The enterprise descriptor is Health Assistant. Its positioning is a clear, clinically governed entry point to care for health systems, clinics, insurers, and enterprise health programs. The patient interface emphasizes understanding and action; enterprise surfaces emphasize accountable workflows, permissions, and traceability.</w:t>
      </w:r>
    </w:p>
    <w:p>
      <w:r>
        <w:t>The visual identity should feel calm, precise, and established. Use light surfaces, dark readable typography, a small teal accent, verified provider details, and visible provenance. The abstract luminous backgrounds in the supplied component close-ups are presentation treatments; operational screens use flat backgrounds.</w:t>
      </w:r>
    </w:p>
    <w:p>
      <w:pPr>
        <w:pStyle w:val="Heading2"/>
      </w:pPr>
      <w:r>
        <w:t>1 2 Brand architecture and identity</w:t>
      </w:r>
    </w:p>
    <w:p>
      <w:pPr>
        <w:pStyle w:val="ListBullet"/>
      </w:pPr>
      <w:r>
        <w:t>Display Nora in the primary app header. In a tenant deployment, show the organization logo beside a restrained Powered by Nora attribution where contractually appropriate. Do not let tenant branding obscure urgency messages or clinical provenance.</w:t>
      </w:r>
    </w:p>
    <w:p>
      <w:pPr>
        <w:pStyle w:val="ListBullet"/>
      </w:pPr>
      <w:r>
        <w:t>Use a simple wordmark and an abstract rounded N or pathway mark. A 24 px app icon and a 120 px wordmark are the minimum desktop reference sizes. Maintain clear space equal to the mark height divided by two. Deliver original SVG masters and monochrome variants before release.</w:t>
      </w:r>
    </w:p>
    <w:p>
      <w:pPr>
        <w:pStyle w:val="ListBullet"/>
      </w:pPr>
      <w:r>
        <w:t>Avoid medical certification seals, claims of diagnostic accuracy, and a cross emblem that implies an affiliation or protected identity. Brand and trademark review must approve the final mark. The product name and exact tokens are proposed for approval.</w:t>
      </w:r>
    </w:p>
    <w:p>
      <w:pPr>
        <w:pStyle w:val="Heading2"/>
      </w:pPr>
      <w:r>
        <w:t>1 3 Color system</w:t>
      </w:r>
    </w:p>
    <w:tbl>
      <w:tblPr>
        <w:tblW w:type="auto" w:w="0"/>
        <w:jc w:val="center"/>
        <w:tblLayout w:type="fixed"/>
        <w:tblLook w:firstColumn="1" w:firstRow="1" w:lastColumn="0" w:lastRow="0" w:noHBand="0" w:noVBand="1" w:val="04A0"/>
      </w:tblPr>
      <w:tblGrid>
        <w:gridCol w:w="2376"/>
        <w:gridCol w:w="1440"/>
        <w:gridCol w:w="6120"/>
      </w:tblGrid>
      <w:tr>
        <w:trPr>
          <w:cantSplit/>
          <w:tblHeader/>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Token</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Hex</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Usage</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brand.navy</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#142B45</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Primary brand and enterprise navigation</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brand.teal</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#087F8C</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Primary actions and selected states</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brand.cyan</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#16C4D5</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Illustration accent only; no white small text</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text.primary</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#172B3A</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Headings and body copy</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text.secondary</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#526477</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Supporting copy</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surface.page</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#F5F8FA</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App canvas</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surface.panel</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#FFFFFF</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Cards and working panels</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border.default</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#D6E0E7</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Dividers and inactive boundaries</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focus.ring</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#2457C5</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Visible keyboard focus</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status.success</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#166534</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Completed action</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status.warning</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#8A4B00</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Caution and time sensitive guidance</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status.danger</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#B42318</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Urgency and destructive operations</w:t>
            </w:r>
          </w:p>
        </w:tc>
      </w:tr>
    </w:tbl>
    <w:p/>
    <w:p>
      <w:r>
        <w:t>Status backgrounds use pale tints with dark text. Color always accompanies a label and icon. Every final text, focus, and component pairing must be measured for contrast; a token name alone is not evidence of accessibility.</w:t>
      </w:r>
    </w:p>
    <w:p>
      <w:pPr>
        <w:pStyle w:val="Heading2"/>
      </w:pPr>
      <w:r>
        <w:t>1 4 Typography and visual components</w:t>
      </w:r>
    </w:p>
    <w:tbl>
      <w:tblPr>
        <w:tblW w:type="auto" w:w="0"/>
        <w:jc w:val="center"/>
        <w:tblLayout w:type="fixed"/>
        <w:tblLook w:firstColumn="1" w:firstRow="1" w:lastColumn="0" w:lastRow="0" w:noHBand="0" w:noVBand="1" w:val="04A0"/>
      </w:tblPr>
      <w:tblGrid>
        <w:gridCol w:w="2016"/>
        <w:gridCol w:w="7920"/>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Element</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Specification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Application font</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Inter with system sans serif fallback; self host approved font files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Type scale</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Page title 28/36 px; panel title 18/26 px; card title 16/24 px; body 16/24 px; secondary 14/20 px; metadata 12/18 px</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Weight</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Regular 400; medium 500; semibold 600; avoid thin patient text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Spacing</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4 px base; use 8, 12, 16, 24, 32 and 48 px</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Corners</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8 px controls; 12 px cards; 16 px large panels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Borders and shadows</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1 px neutral borders; subtle overlay shadow only; no decorative 3D cards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Icons</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Lucide outline icons at 20 px with 1.5 to 2 px strokes; labels on unfamiliar actions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Controls</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44 px minimum product target for primary buttons and touch actions; compact desktop variants must remain accessible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Motion</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120 to 180 ms transitions; honor reduced motion; no animated urgency countdown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Imagery</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Verified provider photography and clinically approved illustrations with text equivalents</w:t>
            </w:r>
          </w:p>
        </w:tc>
      </w:tr>
    </w:tbl>
    <w:p/>
    <w:p>
      <w:pPr>
        <w:pStyle w:val="Heading2"/>
      </w:pPr>
      <w:r>
        <w:t>1 5 Voice and content rules</w:t>
      </w:r>
    </w:p>
    <w:p>
      <w:r>
        <w:t>Write direct, respectful sentences. Use Possible explanation and Based on the information provided rather than presenting an AI conclusion as a confirmed diagnosis. State the action and timeframe before background explanation. Never promise recovery, hide uncertainty, exaggerate expertise, or use alarmist marketing inside care workflows.</w:t>
      </w:r>
    </w:p>
    <w:p>
      <w:r>
        <w:t>Patient copy defaults to plain language. Clinical terminology appears with a definition or in the clinical view. The enterprise console can use operational terms such as rule version and review status. A named clinical author must approve patient guidance and translations.</w:t>
      </w:r>
    </w:p>
    <w:p>
      <w:pPr>
        <w:pStyle w:val="Heading2"/>
      </w:pPr>
      <w:r>
        <w:t>1 6 Brand delivery acceptance</w:t>
      </w:r>
    </w:p>
    <w:p>
      <w:r>
        <w:t>BR AC01: All patient and enterprise screens consume the same versioned semantic tokens. BR AC02: Tenant themes preserve required contrast, status semantics, and Nora attribution settings. BR AC03: Final marks include SVG, PNG, monochrome, favicon, clear space, and approved usage examples. BR AC04: No clinical claim or certification badge is published without documented approval.</w:t>
      </w:r>
    </w:p>
    <w:p>
      <w:r>
        <w:rPr>
          <w:b/>
        </w:rPr>
        <w:t xml:space="preserve">Brand definition of done  </w:t>
      </w:r>
      <w:r>
        <w:t>Design lead approves the token library, logo assets, component states, and examples. Engineering publishes the shared UI package and Storybook. Accessibility and clinical reviewers sign off patient copy and status treatments.</w:t>
      </w:r>
    </w:p>
    <w:p>
      <w:pPr>
        <w:pStyle w:val="Heading1"/>
      </w:pPr>
      <w:r>
        <w:t>2 User experience guidelines</w:t>
      </w:r>
    </w:p>
    <w:p>
      <w:pPr>
        <w:pStyle w:val="Heading2"/>
      </w:pPr>
      <w:r>
        <w:t>2 1 Workspace and navigation</w:t>
      </w:r>
    </w:p>
    <w:p>
      <w:r>
        <w:t>At 1280 px and above, use three panels: intake 28 percent, findings 44 percent, suggestions 28 percent, with 16 px gutters. Panels have independent scroll only where required and retain visible headings. The app header is 64 px high. At 768 to 1279 px, keep intake and findings visible and open suggestions in a drawer. Below 768 px, use Intake, Findings, and Next steps views with preserved state. Test at 320 CSS px reflow width.</w:t>
      </w:r>
    </w:p>
    <w:p>
      <w:r>
        <w:t>Keep the reference navigation: Intake, Medicines, Doctors, Appointments. New check starts a new assessment only after resolving any unsaved local input. The profile menu contains preferences, history, privacy controls, and sign out. Medicines can show approved education at P0; personalized guidance remains disabled until its release gate passes.</w:t>
      </w:r>
    </w:p>
    <w:p>
      <w:pPr>
        <w:pStyle w:val="Heading2"/>
      </w:pPr>
      <w:r>
        <w:t>2 2 Interaction rules</w:t>
      </w:r>
    </w:p>
    <w:p>
      <w:pPr>
        <w:pStyle w:val="ListBullet"/>
      </w:pPr>
      <w:r>
        <w:t>Ask one principal follow-up question at a time. Explain why sensitive context is needed. Distinguish No, Unknown, Prefer not to answer, and Not asked. A skipped answer must never become a negative finding.</w:t>
      </w:r>
    </w:p>
    <w:p>
      <w:pPr>
        <w:pStyle w:val="ListBullet"/>
      </w:pPr>
      <w:r>
        <w:t>Preserve typed drafts through recoverable navigation and reconnects using protected session state. Do not persist health data in unencrypted browser localStorage or a public service worker cache.</w:t>
      </w:r>
    </w:p>
    <w:p>
      <w:pPr>
        <w:pStyle w:val="ListBullet"/>
      </w:pPr>
      <w:r>
        <w:t>Let users correct a symptom or answer. Mark the previous assessment as superseded and recompute affected findings and next steps. The interface must never pair a new answer with an old recommendation silently.</w:t>
      </w:r>
    </w:p>
    <w:p>
      <w:pPr>
        <w:pStyle w:val="ListBullet"/>
      </w:pPr>
      <w:r>
        <w:t>Show urgency above ordinary findings and in every responsive layout. Emergency navigation remains available without sign in; case storage and individualized processing require the approved identity and consent flow.</w:t>
      </w:r>
    </w:p>
    <w:p>
      <w:pPr>
        <w:pStyle w:val="ListBullet"/>
      </w:pPr>
      <w:r>
        <w:t>Keep the dominant action specific: Continue, Review answers, Find a doctor, or Confirm appointment. Do not use a generic Submit label when its consequence is important.</w:t>
      </w:r>
    </w:p>
    <w:p>
      <w:pPr>
        <w:pStyle w:val="ListBullet"/>
      </w:pPr>
      <w:r>
        <w:t>Show provider recommendations with a reason. Clearly distinguish Recommended specialty, Bookable provider, and External booking. Disclose sponsored placement if introduced; urgency ranking cannot be purchased.</w:t>
      </w:r>
    </w:p>
    <w:p>
      <w:pPr>
        <w:pStyle w:val="Heading2"/>
      </w:pPr>
      <w:r>
        <w:t>2 3 States and recovery</w:t>
      </w:r>
    </w:p>
    <w:tbl>
      <w:tblPr>
        <w:tblW w:type="auto" w:w="0"/>
        <w:jc w:val="center"/>
        <w:tblLayout w:type="fixed"/>
        <w:tblLook w:firstColumn="1" w:firstRow="1" w:lastColumn="0" w:lastRow="0" w:noHBand="0" w:noVBand="1" w:val="04A0"/>
      </w:tblPr>
      <w:tblGrid>
        <w:gridCol w:w="1728"/>
        <w:gridCol w:w="8208"/>
      </w:tblGrid>
      <w:tr>
        <w:trPr>
          <w:cantSplit/>
          <w:tblHeader/>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State</w:t>
            </w:r>
          </w:p>
        </w:tc>
        <w:tc>
          <w:tcPr>
            <w:tcW w:type="dxa" w:w="82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Required experience</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Empty</w:t>
            </w:r>
          </w:p>
        </w:tc>
        <w:tc>
          <w:tcPr>
            <w:tcW w:type="dxa" w:w="82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Explain the task and provide a symptom input with a short example</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Working</w:t>
            </w:r>
          </w:p>
        </w:tc>
        <w:tc>
          <w:tcPr>
            <w:tcW w:type="dxa" w:w="82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Show actual processing stages and elapsed time; no fake diagnostic progress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Question pending</w:t>
            </w:r>
          </w:p>
        </w:tc>
        <w:tc>
          <w:tcPr>
            <w:tcW w:type="dxa" w:w="82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Keep current answer controls visible and preserve prior conversation</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Partial result</w:t>
            </w:r>
          </w:p>
        </w:tc>
        <w:tc>
          <w:tcPr>
            <w:tcW w:type="dxa" w:w="82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Label what is available and what is pending; do not imply completion</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Blocked</w:t>
            </w:r>
          </w:p>
        </w:tc>
        <w:tc>
          <w:tcPr>
            <w:tcW w:type="dxa" w:w="82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Explain missing context or unsupported scope and offer a care handoff</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Service failure</w:t>
            </w:r>
          </w:p>
        </w:tc>
        <w:tc>
          <w:tcPr>
            <w:tcW w:type="dxa" w:w="82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Keep confirmed answers; offer retry or exit; show incident reference without sensitive details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Urgent</w:t>
            </w:r>
          </w:p>
        </w:tc>
        <w:tc>
          <w:tcPr>
            <w:tcW w:type="dxa" w:w="82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Display approved action immediately and suppress distracting routine recommendations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Completed</w:t>
            </w:r>
          </w:p>
        </w:tc>
        <w:tc>
          <w:tcPr>
            <w:tcW w:type="dxa" w:w="82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Show findings, source date, assessment time, next action and save status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Superseded</w:t>
            </w:r>
          </w:p>
        </w:tc>
        <w:tc>
          <w:tcPr>
            <w:tcW w:type="dxa" w:w="82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Label older findings and provide a link to the latest version</w:t>
            </w:r>
          </w:p>
        </w:tc>
      </w:tr>
    </w:tbl>
    <w:p/>
    <w:p>
      <w:pPr>
        <w:pStyle w:val="Heading2"/>
      </w:pPr>
      <w:r>
        <w:t>2 4 Accessibility and comprehension</w:t>
      </w:r>
    </w:p>
    <w:p>
      <w:r>
        <w:t>Target WCAG 2.2 AA across complete patient and staff processes [S1]. Product controls should normally use 44 by 44 CSS px hit areas, a stricter internal target than the AA minimum target-size criterion. Normal text must meet 4.5 to 1 contrast and large text 3 to 1. Provide visible focus, semantic headings, accessible input labels, keyboard alternatives, error summaries, and status announcements that do not repeatedly interrupt screen readers.</w:t>
      </w:r>
    </w:p>
    <w:p>
      <w:r>
        <w:t>Support 200 percent text zoom, reflow, reduced motion, VoiceOver, and NVDA testing. Consent and authentication must work without memory puzzles. Voice must always have a text alternative. Illustrations and three-step explanations have equivalent plain text and must not carry the only urgency information.</w:t>
      </w:r>
    </w:p>
    <w:p>
      <w:pPr>
        <w:pStyle w:val="Heading2"/>
      </w:pPr>
      <w:r>
        <w:t>2 5 UX acceptance and completion</w:t>
      </w:r>
    </w:p>
    <w:p>
      <w:r>
        <w:t>UX AC01: At each breakpoint, a user can complete intake, read urgency and next steps, and reach care without horizontal page scrolling. UX AC02: Keyboard-only users can complete the same flow, including upload and booking. UX AC03: Editing an answer shows a visibly updating assessment until all affected panels agree. UX AC04: At least 8 of 10 representative pilot users can explain the assessment uncertainty and the next action in moderated testing; recruitment must include accessibility needs.</w:t>
      </w:r>
    </w:p>
    <w:p>
      <w:r>
        <w:rPr>
          <w:b/>
        </w:rPr>
        <w:t xml:space="preserve">UX definition of done  </w:t>
      </w:r>
      <w:r>
        <w:t>Design files include all normal, error, urgency, empty and loading states. Storybook and visual regression baselines cover approved components. Automated accessibility scans and manual assistive technology tests pass with no unresolved blocker. The product and clinical leads review comprehension results before pilot launch.</w:t>
      </w:r>
    </w:p>
    <w:p>
      <w:pPr>
        <w:pStyle w:val="Heading1"/>
      </w:pPr>
      <w:r>
        <w:t>3 Product scope and operating model</w:t>
      </w:r>
    </w:p>
    <w:p>
      <w:pPr>
        <w:pStyle w:val="Heading2"/>
      </w:pPr>
      <w:r>
        <w:t>3 1 Product outcomes</w:t>
      </w:r>
    </w:p>
    <w:p>
      <w:r>
        <w:t>Nora reduces the work required to collect a useful symptom history and helps patients reach an appropriate next step. The enterprise buyer receives controlled clinical content, auditable operations, and connected care workflows. Success must be measured through comprehension, assessment completion, safe handoff, and operational quality rather than maximizing the number of AI conclusions.</w:t>
      </w:r>
    </w:p>
    <w:tbl>
      <w:tblPr>
        <w:tblW w:type="auto" w:w="0"/>
        <w:jc w:val="center"/>
        <w:tblLayout w:type="fixed"/>
        <w:tblLook w:firstColumn="1" w:firstRow="1" w:lastColumn="0" w:lastRow="0" w:noHBand="0" w:noVBand="1" w:val="04A0"/>
      </w:tblPr>
      <w:tblGrid>
        <w:gridCol w:w="2160"/>
        <w:gridCol w:w="5616"/>
        <w:gridCol w:w="2160"/>
      </w:tblGrid>
      <w:tr>
        <w:trPr>
          <w:cantSplit/>
          <w:tblHeader/>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Measure</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Definition</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Proposed pilot target</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Assessment completion</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Completed supported assessments divided by eligible consented starts; exclude explicit out of scope routing</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At least 75 percent</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Next step comprehension</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Users who correctly restate urgency and next action in moderated testing</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At least 80 percent</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Structured output validity</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Persisted assessments passing the versioned schema</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100 percent</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Critical sentinel cases</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Clinician-labelled critical cases that receive the required escalation in the release suite</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100 percent of the agreed sentinel suite</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Provider confirmation integrity</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Appointments labelled confirmed that match a provider confirmation reference</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100 percent</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Access isolation</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Cross-patient and cross-tenant unauthorized reads or writes in the test matrix</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Zero successful unauthorized actions</w:t>
            </w:r>
          </w:p>
        </w:tc>
      </w:tr>
    </w:tbl>
    <w:p/>
    <w:p>
      <w:r>
        <w:t>These targets do not establish clinical effectiveness or real-world sensitivity. Broader validation uses the approved sampling plan, confidence intervals, subgroup analysis, and residual-risk review described in Section 9.</w:t>
      </w:r>
    </w:p>
    <w:p>
      <w:pPr>
        <w:pStyle w:val="Heading2"/>
      </w:pPr>
      <w:r>
        <w:t>3 2 Personas and responsibilities</w:t>
      </w:r>
    </w:p>
    <w:tbl>
      <w:tblPr>
        <w:tblW w:type="auto" w:w="0"/>
        <w:jc w:val="center"/>
        <w:tblLayout w:type="fixed"/>
        <w:tblLook w:firstColumn="1" w:firstRow="1" w:lastColumn="0" w:lastRow="0" w:noHBand="0" w:noVBand="1" w:val="04A0"/>
      </w:tblPr>
      <w:tblGrid>
        <w:gridCol w:w="2016"/>
        <w:gridCol w:w="4032"/>
        <w:gridCol w:w="3888"/>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Role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Can do</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Cannot do</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Patient</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Manage own profile, assessments, reports, consent and appointments</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Change clinical rules or view another patient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Clinician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Access authorized assigned cases, review findings, sign notes and care instructions</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Access unrelated tenants or silently alter original patient answers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Care coordinator</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Manage referrals and appointment logistics within assigned scope</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Issue clinical advice or change assessed urgency</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Tenant administrator</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Manage staff, branding, integrations and operational settings</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Receive blanket access to patient records through admin status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Clinical content editor</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Draft knowledge and rule changes</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Approve own clinical changes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Clinical approver</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Approve content and validated scope</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Bypass release evidence or erase historical versions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Platform operator</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Operate infrastructure and inspect redacted telemetry</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Read patient content without controlled, time-limited authorization</w:t>
            </w:r>
          </w:p>
        </w:tc>
      </w:tr>
    </w:tbl>
    <w:p/>
    <w:p>
      <w:pPr>
        <w:pStyle w:val="Heading2"/>
      </w:pPr>
      <w:r>
        <w:t>3 3 Initial scope and exclusions</w:t>
      </w:r>
    </w:p>
    <w:p>
      <w:r>
        <w:t>Proposed initial pilot: authenticated adults, one approved deployment jurisdiction, English, a clinician-defined list of common presenting concerns, and a contracted provider directory. Clinical leadership must define the actual conditions, age criteria, exclusions, and referral pathways. Pediatric, pregnancy-specific, emergency diagnosis, and complex management pathways remain disabled unless separately validated.</w:t>
      </w:r>
    </w:p>
    <w:p>
      <w:r>
        <w:t>The product provides a bounded assessment and care navigation. Autonomous prescriptions, medication changes, interpretation of imaging pixels, continuous vital-sign monitoring, and a replacement for emergency services are outside this specification. Payment collection and caregiver delegation are optional P2 modules; neither is required to complete P0.</w:t>
      </w:r>
    </w:p>
    <w:p>
      <w:pPr>
        <w:pStyle w:val="Heading2"/>
      </w:pPr>
      <w:r>
        <w:t>3 4 Enterprise deployment options</w:t>
      </w:r>
    </w:p>
    <w:p>
      <w:r>
        <w:t>Default deployment is a regional multi-tenant SaaS application with server-enforced tenant boundaries. A dedicated tenant deployment is available where contract, residency, keys, network access, or workload isolation require it. Dedicated deployment must use the same release artifacts and validation policy. Public patient, authenticated staff, and administration routes are distinct permission surfaces.</w:t>
      </w:r>
    </w:p>
    <w:p>
      <w:r>
        <w:t>Each tenant contract identifies the clinical operator, data controller and processors where applicable, support hours, permitted use, provider integrations, hosting region, and retention schedule. No patient launch proceeds with these ownership questions unresolved.</w:t>
      </w:r>
    </w:p>
    <w:p>
      <w:pPr>
        <w:pStyle w:val="Heading1"/>
      </w:pPr>
      <w:r>
        <w:t>4 End to end journeys</w:t>
      </w:r>
    </w:p>
    <w:p>
      <w:pPr>
        <w:pStyle w:val="Heading2"/>
      </w:pPr>
      <w:r>
        <w:t>4 1 Patient assessment and care handoff</w:t>
      </w:r>
    </w:p>
    <w:p>
      <w:r>
        <w:t>1. Enter the tenant portal, read scope, and sign in. If immediate help is needed, access the regional emergency information without waiting for authentication.</w:t>
      </w:r>
    </w:p>
    <w:p>
      <w:r>
        <w:t>2. Consent to the current processing purpose and confirm relevant profile details. Nora shows which information will be used and who may receive it.</w:t>
      </w:r>
    </w:p>
    <w:p>
      <w:r>
        <w:t>3. Start a check and describe symptoms. The backend commits the message, normalizes candidate symptoms, and requests confirmation where ambiguity affects the result.</w:t>
      </w:r>
    </w:p>
    <w:p>
      <w:r>
        <w:t>4. Answer targeted follow-ups. Each confirmed answer updates the structured case and runs the urgency rules before ordinary assessment continues.</w:t>
      </w:r>
    </w:p>
    <w:p>
      <w:r>
        <w:t>5. When minimum information is complete, the assessment service retrieves approved evidence, computes a bounded result, validates the result and sources, and persists a version.</w:t>
      </w:r>
    </w:p>
    <w:p>
      <w:r>
        <w:t>6. Read the plain-language findings, uncertainty, urgency and next-step plan. Open clinical terminology or sources only when useful. Correcting an answer creates a new assessment version.</w:t>
      </w:r>
    </w:p>
    <w:p>
      <w:r>
        <w:t>7. Find an appropriate provider. Choose external booking at P0 or a confirmed live slot at P1. Consent to sharing the relevant summary separately from general processing consent.</w:t>
      </w:r>
    </w:p>
    <w:p>
      <w:r>
        <w:t>8. Receive a confirmed handoff or booking status, save the summary, and revisit the assessment history. Later symptom changes start a reassessment rather than silently rewriting history.</w:t>
      </w:r>
    </w:p>
    <w:p>
      <w:pPr>
        <w:pStyle w:val="Heading2"/>
      </w:pPr>
      <w:r>
        <w:t>4 2 Urgent or unsupported assessment</w:t>
      </w:r>
    </w:p>
    <w:p>
      <w:r>
        <w:t>A confirmed urgency trigger overrides the regular flow and immediately displays the approved action and local contact information. An ambiguous trigger prompts a short clarification only where the clinical protocol allows it. If the rule service fails, Nora must not present reassuring normal findings. It shows the approved fallback and care route. Unsupported scope receives a clear explanation and a referral option without extrapolating clinical coverage.</w:t>
      </w:r>
    </w:p>
    <w:p>
      <w:pPr>
        <w:pStyle w:val="Heading2"/>
      </w:pPr>
      <w:r>
        <w:t>4 3 Clinician review and signed guidance</w:t>
      </w:r>
    </w:p>
    <w:p>
      <w:r>
        <w:t>An authorized clinician opens an assigned review item, inspects the patient transcript, confirmed profile, source-linked extraction and assessment version, and records acceptance, correction, escalation or request for clarification. Signed guidance stores the signer and version. Patients see whether content is AI generated or clinician reviewed. Later corrections remain attributable and notify affected users according to the incident protocol.</w:t>
      </w:r>
    </w:p>
    <w:p>
      <w:pPr>
        <w:pStyle w:val="Heading2"/>
      </w:pPr>
      <w:r>
        <w:t>4 4 Enterprise onboarding and content release</w:t>
      </w:r>
    </w:p>
    <w:p>
      <w:r>
        <w:t>The platform team provisions a tenant in its approved region, configures the identity provider and roles, applies theme tokens, imports verified providers, and installs a reviewed clinical content bundle. Clinical editors draft rules and knowledge, a separate approver reviews them, engineering runs the frozen evaluation suite, and release owners authorize the bundle. A tenant dry run validates identity, consent, assessment, booking and rollback before any patient access.</w:t>
      </w:r>
    </w:p>
    <w:p>
      <w:pPr>
        <w:pStyle w:val="Heading2"/>
      </w:pPr>
      <w:r>
        <w:t>4 5 Appointment failure and reconciliation</w:t>
      </w:r>
    </w:p>
    <w:p>
      <w:r>
        <w:t>A selected slot is revalidated before confirmation. A provider timeout produces Pending confirmation, not Confirmed. A reconciliation job queries the provider using an idempotent request reference. The patient receives a final confirmation or a failure with alternative options. Rescheduling retains the existing appointment until the provider confirms the replacement, unless its API requires a different explicitly disclosed transaction.</w:t>
      </w:r>
    </w:p>
    <w:p>
      <w:pPr>
        <w:pStyle w:val="Heading1"/>
      </w:pPr>
      <w:r>
        <w:t>5 Proposed technology and architecture</w:t>
      </w:r>
    </w:p>
    <w:p>
      <w:pPr>
        <w:pStyle w:val="Heading2"/>
      </w:pPr>
      <w:r>
        <w:t>5 1 Stack baseline</w:t>
      </w:r>
    </w:p>
    <w:p>
      <w:r>
        <w:t>Use an AWS-hosted modular application with independently scalable web, API, asynchronous workers, and assessment runtime. Avoid distributing every feature into a separate service initially. Pin supported framework and runtime versions after dependency and security review; the choices below are a proposed implementation baseline, not a claim about the latest version. Official implementation references are listed in Section 11.</w:t>
      </w:r>
    </w:p>
    <w:tbl>
      <w:tblPr>
        <w:tblW w:type="auto" w:w="0"/>
        <w:jc w:val="center"/>
        <w:tblLayout w:type="fixed"/>
        <w:tblLook w:firstColumn="1" w:firstRow="1" w:lastColumn="0" w:lastRow="0" w:noHBand="0" w:noVBand="1" w:val="04A0"/>
      </w:tblPr>
      <w:tblGrid>
        <w:gridCol w:w="1728"/>
        <w:gridCol w:w="3816"/>
        <w:gridCol w:w="4392"/>
      </w:tblGrid>
      <w:tr>
        <w:trPr>
          <w:cantSplit/>
          <w:tblHeader/>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Layer</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Proposed stack</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Responsibility</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Web and design system</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Next.js App Router, React, TypeScript, Tailwind CSS, Radix primitives, Storybook</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Patient and staff surfaces with shared tokens [S2]</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Client data and forms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TanStack Query, React Hook Form, Zod</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Typed API data, validation and accessible form state</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Application API</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NestJS, TypeScript, OpenAPI, server sent events</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Authorization, session orchestration and streaming events [S3]</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Persistent data</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Amazon RDS PostgreSQL, Prisma, PostgreSQL row level security</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Transactional case, consent and appointment data</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Cache and jobs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ElastiCache Redis, BullMQ with durable job/outbox records</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Short-lived cache, background processing, retries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Assessment runtime</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Python FastAPI on ECS Fargate, explicit workflow state machine</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Evidence retrieval, rules, structured model orchestration</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Model access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Amazon Bedrock behind a model adapter</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Approved regional text models and embeddings [S4]</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Clinical rules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Versioned JSON rules evaluated in deterministic code</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Urgency, scope, required context and output constraints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Knowledge retrieval</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PostgreSQL pgvector and full-text search</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Tenant and region scoped approved content retrieval</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Files and extraction</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S3, KMS, malware scan worker, Textract</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Quarantined uploads, extraction and provenance</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Voice</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Browser MediaRecorder and approved AWS Transcribe adapter</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Consent-aware transcription; text-first confirmation</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Identity</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Cognito with tenant SAML or OIDC federation; enterprise IdP MFA</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Patient identity and staff SSO [S5]</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Infrastructure</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ECS Fargate, ALB, WAF, CloudFront, Route 53, Secrets Manager</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Regional delivery, private services and managed secrets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Delivery and operations</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Terraform, GitHub Actions or CodeBuild, ECR, OpenTelemetry, CloudWatch</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Repeatable environments, deployment, traces and alerts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Quality</w:t>
            </w:r>
          </w:p>
        </w:tc>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Vitest or Jest, Playwright, axe-core, k6, clinical evaluation harness</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Unit, contract, journey, accessibility, load and clinical checks</w:t>
            </w:r>
          </w:p>
        </w:tc>
      </w:tr>
    </w:tbl>
    <w:p/>
    <w:p>
      <w:pPr>
        <w:pStyle w:val="Heading2"/>
      </w:pPr>
      <w:r>
        <w:t>5 2 Request and assessment boundaries</w:t>
      </w:r>
    </w:p>
    <w:p>
      <w:r>
        <w:t>The browser talks to the application API using an authenticated same-origin session. The API resolves tenant, patient, purpose and permissions from trusted server state, not a client-supplied tenant ID. The assessment runtime receives the minimum authorized case context and a pinned clinical bundle. It cannot make booking, prescribing, or record-sharing actions through unrestricted model tools.</w:t>
      </w:r>
    </w:p>
    <w:p>
      <w:r>
        <w:t>Assessment stages are normalize, confirm, scope check, urgency check, select question, retrieve evidence, draft structured assessment, verify evidence, validate output, and persist. Every answer first passes the urgency check. The browser receives only persisted, approved stage events and display content. Raw model chain-of-thought is never a product output.</w:t>
      </w:r>
    </w:p>
    <w:p>
      <w:pPr>
        <w:pStyle w:val="Heading2"/>
      </w:pPr>
      <w:r>
        <w:t>5 3 Persistence and event integrity</w:t>
      </w:r>
    </w:p>
    <w:p>
      <w:r>
        <w:t>PostgreSQL is the source of truth. Commit a state change and an outbox event in the same transaction. Workers can process events more than once; handlers must be idempotent. Redis loss must not delete a case or confirmed appointment. Every job carries tenant ID, resource ID, workflow version, retry count and correlation ID, while logs omit clinical content.</w:t>
      </w:r>
    </w:p>
    <w:p>
      <w:r>
        <w:t>State transitions use optimistic version checks. Long-running OCR or assessment results include the input version. If the patient edits a case while a job runs, stale results are stored as superseded or discarded and never applied as current findings. Event streams have monotonic sequence numbers and reconnect from the last committed event.</w:t>
      </w:r>
    </w:p>
    <w:p>
      <w:pPr>
        <w:pStyle w:val="Heading2"/>
      </w:pPr>
      <w:r>
        <w:t>5 4 Hosting and model controls</w:t>
      </w:r>
    </w:p>
    <w:p>
      <w:r>
        <w:t>Keep database and internal services on private networks, use scoped service roles and region-scoped storage, and prohibit cross-region inference by default where residency requires it. A model change is a clinical release change. Verify the current provider terms, retention modes, regional availability and contract approvals for the chosen model before sending health data [S4].</w:t>
      </w:r>
    </w:p>
    <w:p>
      <w:r>
        <w:t>Do not infer application compliance from cloud service eligibility. If HIPAA applies, the enterprise must resolve business associate agreements and its own administrative, technical and physical safeguards [S6]. The same deliberate review applies to other launch jurisdictions.</w:t>
      </w:r>
    </w:p>
    <w:p>
      <w:pPr>
        <w:pStyle w:val="Heading1"/>
        <w:pageBreakBefore/>
      </w:pPr>
      <w:r>
        <w:t>6 Detailed feature requirements</w:t>
      </w:r>
    </w:p>
    <w:p>
      <w:r>
        <w:t>Each feature describes the user outcome, normal flow, exceptional states, stack, dependencies, acceptance criteria and completion evidence. P0 is mandatory for a controlled pilot. P1 and P2 are complete specifications for later enabled releases. Every feature inherits the shared definition of done in Section 10 in addition to its specific criteria.</w:t>
      </w:r>
    </w:p>
    <w:p>
      <w:pPr>
        <w:pStyle w:val="Heading2"/>
      </w:pPr>
      <w:r>
        <w:t>F01 Enterprise identity and access</w:t>
      </w:r>
    </w:p>
    <w:p>
      <w:pPr>
        <w:keepNext/>
      </w:pPr>
      <w:r>
        <w:rPr>
          <w:b/>
        </w:rPr>
        <w:t xml:space="preserve">Release and ownership  </w:t>
      </w:r>
      <w:r>
        <w:t>P0 | Identity engineer and security lead</w:t>
      </w:r>
    </w:p>
    <w:p>
      <w:r>
        <w:rPr>
          <w:b/>
        </w:rPr>
        <w:t xml:space="preserve">User outcome and end to end behaviour  </w:t>
      </w:r>
      <w:r>
        <w:t>A patient signs in through the approved patient identity flow. Staff select their organization and authenticate through tenant SSO. The API establishes a tenant-scoped session, checks active membership and roles, and routes the user to the allowed workspace. Sign out invalidates the application session.</w:t>
      </w:r>
    </w:p>
    <w:p>
      <w:r>
        <w:rPr>
          <w:b/>
        </w:rPr>
        <w:t xml:space="preserve">Exceptions and recovery  </w:t>
      </w:r>
      <w:r>
        <w:t>Unknown organizations reveal no patient information. Disabled staff lose access promptly. Expired sessions allow reauthentication without losing server-saved answers. Failed IdP requests show a retry and support route without bypassing authentication.</w:t>
      </w:r>
    </w:p>
    <w:p>
      <w:r>
        <w:rPr>
          <w:b/>
        </w:rPr>
        <w:t xml:space="preserve">Technology and implementation  </w:t>
      </w:r>
      <w:r>
        <w:t>Cognito federation with SAML or OIDC, Next.js backend-for-frontend session handling, NestJS guards, PostgreSQL membership records and Redis session revocation. Secure HttpOnly cookies, CSRF protection and staff MFA through the IdP.</w:t>
      </w:r>
    </w:p>
    <w:p>
      <w:r>
        <w:rPr>
          <w:b/>
        </w:rPr>
        <w:t xml:space="preserve">Records and dependencies  </w:t>
      </w:r>
      <w:r>
        <w:t>Tenant, User, Membership, Role, Session and AccessEvent. Dependencies: Tenant provisioning F24 and audit F25.</w:t>
      </w:r>
    </w:p>
    <w:p>
      <w:pPr>
        <w:pStyle w:val="Heading3"/>
      </w:pPr>
      <w:r>
        <w:t>Acceptance criteria</w:t>
      </w:r>
    </w:p>
    <w:p>
      <w:pPr>
        <w:pStyle w:val="ListBullet"/>
      </w:pPr>
      <w:r>
        <w:t>F01 AC01  Given staff from tenant A, authentication grants only active tenant A permissions; crafted tenant B resource requests return a nonrevealing denied response.</w:t>
      </w:r>
    </w:p>
    <w:p>
      <w:pPr>
        <w:pStyle w:val="ListBullet"/>
      </w:pPr>
      <w:r>
        <w:t>F01 AC02  Given a revoked staff membership, subsequent protected requests fail within 60 seconds even if the identity token has not expired.</w:t>
      </w:r>
    </w:p>
    <w:p>
      <w:pPr>
        <w:pStyle w:val="ListBullet"/>
      </w:pPr>
      <w:r>
        <w:t>F01 AC03  Expired sessions cannot read assessments; reauthentication restores only authorized server-saved work.</w:t>
      </w:r>
    </w:p>
    <w:p>
      <w:pPr>
        <w:pStyle w:val="ListBullet"/>
      </w:pPr>
      <w:r>
        <w:t>F01 AC04  Logout clears the application session; SSO session behaviour is explained and tested rather than promising global IdP logout.</w:t>
      </w:r>
    </w:p>
    <w:p>
      <w:r>
        <w:rPr>
          <w:b/>
        </w:rPr>
        <w:t xml:space="preserve">Definition of done  </w:t>
      </w:r>
      <w:r>
        <w:t>Federation is tested against the pilot IdP and a patient identity flow. The role matrix, revocation tests, recovery guide and security threat review are approved. Shared DoD in Section 10 also applies.</w:t>
      </w:r>
    </w:p>
    <w:p>
      <w:pPr>
        <w:pStyle w:val="Heading2"/>
      </w:pPr>
      <w:r>
        <w:t>F02 Patient profile and processing consent</w:t>
      </w:r>
    </w:p>
    <w:p>
      <w:pPr>
        <w:keepNext/>
      </w:pPr>
      <w:r>
        <w:rPr>
          <w:b/>
        </w:rPr>
        <w:t xml:space="preserve">Release and ownership  </w:t>
      </w:r>
      <w:r>
        <w:t>P0 | Patient experience engineer and privacy lead</w:t>
      </w:r>
    </w:p>
    <w:p>
      <w:r>
        <w:rPr>
          <w:b/>
        </w:rPr>
        <w:t xml:space="preserve">User outcome and end to end behaviour  </w:t>
      </w:r>
      <w:r>
        <w:t>Before individualized intake, the patient sees the processing purpose, operator, recipients and applicable notice. They accept the current consent version and confirm relevant age, conditions, medicines and allergies. Context can be corrected or marked unknown. Consent for clinician sharing, voice and optional analytics is collected separately.</w:t>
      </w:r>
    </w:p>
    <w:p>
      <w:r>
        <w:rPr>
          <w:b/>
        </w:rPr>
        <w:t xml:space="preserve">Exceptions and recovery  </w:t>
      </w:r>
      <w:r>
        <w:t>Refusal prevents the affected processing while retaining general care navigation. Missing consent blocks model requests. Profile changes invalidate dependent current findings. Withdrawn consent stops future processing for that purpose and invokes the applicable retention workflow.</w:t>
      </w:r>
    </w:p>
    <w:p>
      <w:r>
        <w:rPr>
          <w:b/>
        </w:rPr>
        <w:t xml:space="preserve">Technology and implementation  </w:t>
      </w:r>
      <w:r>
        <w:t>React Hook Form and Zod, NestJS consent policy service, PostgreSQL append-only consent events and encrypted profile fields where required. Minimize fields based on the approved scope.</w:t>
      </w:r>
    </w:p>
    <w:p>
      <w:r>
        <w:rPr>
          <w:b/>
        </w:rPr>
        <w:t xml:space="preserve">Records and dependencies  </w:t>
      </w:r>
      <w:r>
        <w:t>PatientProfile, ProfileVersion, ConsentRecord, ConsentPurpose and NoticeVersion. Dependencies: Identity F01, retention F26, clinical scope F08.</w:t>
      </w:r>
    </w:p>
    <w:p>
      <w:pPr>
        <w:pStyle w:val="Heading3"/>
      </w:pPr>
      <w:r>
        <w:t>Acceptance criteria</w:t>
      </w:r>
    </w:p>
    <w:p>
      <w:pPr>
        <w:pStyle w:val="ListBullet"/>
      </w:pPr>
      <w:r>
        <w:t>F02 AC01  No individualized model or extraction call starts without the current required purpose authorization.</w:t>
      </w:r>
    </w:p>
    <w:p>
      <w:pPr>
        <w:pStyle w:val="ListBullet"/>
      </w:pPr>
      <w:r>
        <w:t>F02 AC02  Unknown allergy or medication history remains unknown in storage and assessment inputs.</w:t>
      </w:r>
    </w:p>
    <w:p>
      <w:pPr>
        <w:pStyle w:val="ListBullet"/>
      </w:pPr>
      <w:r>
        <w:t>F02 AC03  A profile correction records provenance and triggers reevaluation of any active assessment using that field.</w:t>
      </w:r>
    </w:p>
    <w:p>
      <w:pPr>
        <w:pStyle w:val="ListBullet"/>
      </w:pPr>
      <w:r>
        <w:t>F02 AC04  Sharing consent is revocable separately from processing consent and is enforced on future accesses.</w:t>
      </w:r>
    </w:p>
    <w:p>
      <w:r>
        <w:rPr>
          <w:b/>
        </w:rPr>
        <w:t xml:space="preserve">Definition of done  </w:t>
      </w:r>
      <w:r>
        <w:t>Privacy lead approves the notice and purpose map. Tests cover refusal, withdrawal, outdated consent, corrections and field-level access. Shared DoD in Section 10 also applies.</w:t>
      </w:r>
    </w:p>
    <w:p>
      <w:pPr>
        <w:pStyle w:val="Heading2"/>
      </w:pPr>
      <w:r>
        <w:t>F03 New checks history and session lifecycle</w:t>
      </w:r>
    </w:p>
    <w:p>
      <w:pPr>
        <w:keepNext/>
      </w:pPr>
      <w:r>
        <w:rPr>
          <w:b/>
        </w:rPr>
        <w:t xml:space="preserve">Release and ownership  </w:t>
      </w:r>
      <w:r>
        <w:t>P0 | Application engineer</w:t>
      </w:r>
    </w:p>
    <w:p>
      <w:r>
        <w:rPr>
          <w:b/>
        </w:rPr>
        <w:t xml:space="preserve">User outcome and end to end behaviour  </w:t>
      </w:r>
      <w:r>
        <w:t>New check creates a draft assessment linked to the current patient and tenant. The patient enters intake, can resume a saved check, and views past checks by date and status. Completed checks retain their input and result versions; a later health concern creates a new linked check.</w:t>
      </w:r>
    </w:p>
    <w:p>
      <w:r>
        <w:rPr>
          <w:b/>
        </w:rPr>
        <w:t xml:space="preserve">Exceptions and recovery  </w:t>
      </w:r>
      <w:r>
        <w:t>A duplicate click creates one check through an idempotency key. Abandoned checks remain resumable according to retention policy. Conflicting tabs show a refresh or conflict message instead of overwriting answers. An old check clearly displays its assessment date.</w:t>
      </w:r>
    </w:p>
    <w:p>
      <w:r>
        <w:rPr>
          <w:b/>
        </w:rPr>
        <w:t xml:space="preserve">Technology and implementation  </w:t>
      </w:r>
      <w:r>
        <w:t>Next.js routes, NestJS session service, PostgreSQL optimistic concurrency, TanStack Query and a protected history API. Server state is authoritative.</w:t>
      </w:r>
    </w:p>
    <w:p>
      <w:r>
        <w:rPr>
          <w:b/>
        </w:rPr>
        <w:t xml:space="preserve">Records and dependencies  </w:t>
      </w:r>
      <w:r>
        <w:t>AssessmentSession, SessionVersion and SessionEvent. Dependencies: F01, F02, F25.</w:t>
      </w:r>
    </w:p>
    <w:p>
      <w:pPr>
        <w:pStyle w:val="Heading3"/>
      </w:pPr>
      <w:r>
        <w:t>Acceptance criteria</w:t>
      </w:r>
    </w:p>
    <w:p>
      <w:pPr>
        <w:pStyle w:val="ListBullet"/>
      </w:pPr>
      <w:r>
        <w:t>F03 AC01  Two repeated create requests with one idempotency key return the same session ID.</w:t>
      </w:r>
    </w:p>
    <w:p>
      <w:pPr>
        <w:pStyle w:val="ListBullet"/>
      </w:pPr>
      <w:r>
        <w:t>F03 AC02  A browser reload restores every server-confirmed answer and the current workflow stage.</w:t>
      </w:r>
    </w:p>
    <w:p>
      <w:pPr>
        <w:pStyle w:val="ListBullet"/>
      </w:pPr>
      <w:r>
        <w:t>F03 AC03  A stale update receives HTTP 409 and cannot replace a newer session version.</w:t>
      </w:r>
    </w:p>
    <w:p>
      <w:pPr>
        <w:pStyle w:val="ListBullet"/>
      </w:pPr>
      <w:r>
        <w:t>F03 AC04  History is patient scoped; old results remain dated and labelled when superseded.</w:t>
      </w:r>
    </w:p>
    <w:p>
      <w:r>
        <w:rPr>
          <w:b/>
        </w:rPr>
        <w:t xml:space="preserve">Definition of done  </w:t>
      </w:r>
      <w:r>
        <w:t>Lifecycle transition tests, pagination, concurrency cases and resume journeys pass. Product approves all empty, abandoned and historical states. Shared DoD in Section 10 also applies.</w:t>
      </w:r>
    </w:p>
    <w:p>
      <w:pPr>
        <w:pStyle w:val="Heading2"/>
      </w:pPr>
      <w:r>
        <w:t>F04 Conversational text intake</w:t>
      </w:r>
    </w:p>
    <w:p>
      <w:pPr>
        <w:keepNext/>
      </w:pPr>
      <w:r>
        <w:rPr>
          <w:b/>
        </w:rPr>
        <w:t xml:space="preserve">Release and ownership  </w:t>
      </w:r>
      <w:r>
        <w:t>P0 | Patient experience and assessment engineers</w:t>
      </w:r>
    </w:p>
    <w:p>
      <w:r>
        <w:rPr>
          <w:b/>
        </w:rPr>
        <w:t xml:space="preserve">User outcome and end to end behaviour  </w:t>
      </w:r>
      <w:r>
        <w:t>The patient types a symptom description and sends it. The API persists the message before analysis, extracts candidate symptoms with onset, severity and negation, and asks the user to confirm ambiguous clinically important details. The conversation pairs natural language with a structured case.</w:t>
      </w:r>
    </w:p>
    <w:p>
      <w:r>
        <w:rPr>
          <w:b/>
        </w:rPr>
        <w:t xml:space="preserve">Exceptions and recovery  </w:t>
      </w:r>
      <w:r>
        <w:t>Empty input cannot submit. The baseline maximum is 8000 characters per message, with a clear error above that limit. Quoted text, reported speech and negation are not silently treated as present symptoms. Model failure retains the message and offers a retry.</w:t>
      </w:r>
    </w:p>
    <w:p>
      <w:r>
        <w:rPr>
          <w:b/>
        </w:rPr>
        <w:t xml:space="preserve">Technology and implementation  </w:t>
      </w:r>
      <w:r>
        <w:t>Accessible React composer, Zod input validation, NestJS message API, Bedrock extraction adapter and JSON schema validation. Clinically relevant entities retain links to source messages and confirmation state.</w:t>
      </w:r>
    </w:p>
    <w:p>
      <w:r>
        <w:rPr>
          <w:b/>
        </w:rPr>
        <w:t xml:space="preserve">Records and dependencies  </w:t>
      </w:r>
      <w:r>
        <w:t>Message, SymptomObservation, CaseFact and ExtractionVersion. Dependencies: F02, F03, clinical rules F08 and bundle F23.</w:t>
      </w:r>
    </w:p>
    <w:p>
      <w:pPr>
        <w:pStyle w:val="Heading3"/>
      </w:pPr>
      <w:r>
        <w:t>Acceptance criteria</w:t>
      </w:r>
    </w:p>
    <w:p>
      <w:pPr>
        <w:pStyle w:val="ListBullet"/>
      </w:pPr>
      <w:r>
        <w:t>F04 AC01  Sending the same message request twice stores one message and one analysis task.</w:t>
      </w:r>
    </w:p>
    <w:p>
      <w:pPr>
        <w:pStyle w:val="ListBullet"/>
      </w:pPr>
      <w:r>
        <w:t>F04 AC02  Approved tests distinguish present, denied, historical, hypothetical and uncertain symptoms.</w:t>
      </w:r>
    </w:p>
    <w:p>
      <w:pPr>
        <w:pStyle w:val="ListBullet"/>
      </w:pPr>
      <w:r>
        <w:t>F04 AC03  Critical ambiguous facts require confirmation or the approved conservative fallback.</w:t>
      </w:r>
    </w:p>
    <w:p>
      <w:pPr>
        <w:pStyle w:val="ListBullet"/>
      </w:pPr>
      <w:r>
        <w:t>F04 AC04  Unsupported or malformed model output cannot become confirmed case facts.</w:t>
      </w:r>
    </w:p>
    <w:p>
      <w:r>
        <w:rPr>
          <w:b/>
        </w:rPr>
        <w:t xml:space="preserve">Definition of done  </w:t>
      </w:r>
      <w:r>
        <w:t>The intake corpus includes colloquial phrases, spelling errors, negation, multiple concerns and prompt injection. Clinical and UX reviewers approve extraction behaviour and correction controls. Shared DoD in Section 10 also applies.</w:t>
      </w:r>
    </w:p>
    <w:p>
      <w:pPr>
        <w:pStyle w:val="Heading2"/>
      </w:pPr>
      <w:r>
        <w:t>F05 Voice input and confirmed transcription</w:t>
      </w:r>
    </w:p>
    <w:p>
      <w:pPr>
        <w:keepNext/>
      </w:pPr>
      <w:r>
        <w:rPr>
          <w:b/>
        </w:rPr>
        <w:t xml:space="preserve">Release and ownership  </w:t>
      </w:r>
      <w:r>
        <w:t>P1 | Voice engineer and privacy lead</w:t>
      </w:r>
    </w:p>
    <w:p>
      <w:r>
        <w:rPr>
          <w:b/>
        </w:rPr>
        <w:t xml:space="preserve">User outcome and end to end behaviour  </w:t>
      </w:r>
      <w:r>
        <w:t>The patient explicitly enables the microphone, records a short description, sees the transcription, edits it and confirms it before the text becomes an intake message. A visible recording indicator and stop control remain present throughout capture. Text input remains available.</w:t>
      </w:r>
    </w:p>
    <w:p>
      <w:r>
        <w:rPr>
          <w:b/>
        </w:rPr>
        <w:t xml:space="preserve">Exceptions and recovery  </w:t>
      </w:r>
      <w:r>
        <w:t>Denied permission, unsupported browser, silence, poor audio, network loss or a low confidence transcript triggers text fallback. Voice interpretation cannot silently infer a medicine or dose. Cancelled audio is discarded. Default capture limit is two minutes, configurable only within approved bounds.</w:t>
      </w:r>
    </w:p>
    <w:p>
      <w:r>
        <w:rPr>
          <w:b/>
        </w:rPr>
        <w:t xml:space="preserve">Technology and implementation  </w:t>
      </w:r>
      <w:r>
        <w:t>Browser MediaRecorder, region-approved Transcribe adapter, authenticated upload or streaming gateway and S3 temporary encrypted objects. Store confirmed transcript; default raw audio is deleted within 24 hours or sooner on cancellation unless an approved purpose requires it.</w:t>
      </w:r>
    </w:p>
    <w:p>
      <w:r>
        <w:rPr>
          <w:b/>
        </w:rPr>
        <w:t xml:space="preserve">Records and dependencies  </w:t>
      </w:r>
      <w:r>
        <w:t>VoiceCapture, TranscriptVersion and voice consent event. Dependencies: F02, F04, F26 and provider terms.</w:t>
      </w:r>
    </w:p>
    <w:p>
      <w:pPr>
        <w:pStyle w:val="Heading3"/>
      </w:pPr>
      <w:r>
        <w:t>Acceptance criteria</w:t>
      </w:r>
    </w:p>
    <w:p>
      <w:pPr>
        <w:pStyle w:val="ListBullet"/>
      </w:pPr>
      <w:r>
        <w:t>F05 AC01  No microphone capture occurs before an explicit user action and required consent.</w:t>
      </w:r>
    </w:p>
    <w:p>
      <w:pPr>
        <w:pStyle w:val="ListBullet"/>
      </w:pPr>
      <w:r>
        <w:t>F05 AC02  Only user-confirmed transcription enters the structured intake pipeline.</w:t>
      </w:r>
    </w:p>
    <w:p>
      <w:pPr>
        <w:pStyle w:val="ListBullet"/>
      </w:pPr>
      <w:r>
        <w:t>F05 AC03  Stopping or cancelling capture closes the microphone stream and prevents further upload.</w:t>
      </w:r>
    </w:p>
    <w:p>
      <w:pPr>
        <w:pStyle w:val="ListBullet"/>
      </w:pPr>
      <w:r>
        <w:t>F05 AC04  Tested permission and transcription failures leave a usable text composer and no lost confirmed messages.</w:t>
      </w:r>
    </w:p>
    <w:p>
      <w:r>
        <w:rPr>
          <w:b/>
        </w:rPr>
        <w:t xml:space="preserve">Definition of done  </w:t>
      </w:r>
      <w:r>
        <w:t>Privacy review, supported browser matrix, representative audio tests and deletion verification are complete. Clinical reviewers approve critical-word confirmation behaviour. Shared DoD in Section 10 also applies.</w:t>
      </w:r>
    </w:p>
    <w:p>
      <w:pPr>
        <w:pStyle w:val="Heading2"/>
      </w:pPr>
      <w:r>
        <w:t>F06 Reports upload and extraction review</w:t>
      </w:r>
    </w:p>
    <w:p>
      <w:pPr>
        <w:keepNext/>
      </w:pPr>
      <w:r>
        <w:rPr>
          <w:b/>
        </w:rPr>
        <w:t xml:space="preserve">Release and ownership  </w:t>
      </w:r>
      <w:r>
        <w:t>P1 | Document pipeline engineer and clinical lead</w:t>
      </w:r>
    </w:p>
    <w:p>
      <w:r>
        <w:rPr>
          <w:b/>
        </w:rPr>
        <w:t xml:space="preserve">User outcome and end to end behaviour  </w:t>
      </w:r>
      <w:r>
        <w:t>The patient uploads PDF, JPEG or PNG reports up to 20 MB each, with a baseline limit of ten files per check. Files enter quarantine, pass type and malware checks, and are extracted into a review screen. The patient confirms report identity and important values before approved facts enter the assessment.</w:t>
      </w:r>
    </w:p>
    <w:p>
      <w:r>
        <w:rPr>
          <w:b/>
        </w:rPr>
        <w:t xml:space="preserve">Exceptions and recovery  </w:t>
      </w:r>
      <w:r>
        <w:t>Encrypted PDFs, unreadable images, malware, unsupported formats, mismatched patient details and incomplete units require recovery or rejection. Report text is untrusted input. Imaging uploads can store an existing written report but do not enable diagnosis from image pixels.</w:t>
      </w:r>
    </w:p>
    <w:p>
      <w:r>
        <w:rPr>
          <w:b/>
        </w:rPr>
        <w:t xml:space="preserve">Technology and implementation  </w:t>
      </w:r>
      <w:r>
        <w:t>Signed S3 uploads, KMS, MIME and file signature validation, malware scan worker, BullMQ, Textract and deterministic unit/date parsing. Extraction stores page and bounding-box provenance; model summarization cannot invent absent values.</w:t>
      </w:r>
    </w:p>
    <w:p>
      <w:r>
        <w:rPr>
          <w:b/>
        </w:rPr>
        <w:t xml:space="preserve">Records and dependencies  </w:t>
      </w:r>
      <w:r>
        <w:t>Report, FileObject, ExtractionJob, ExtractedObservation and Confirmation. Dependencies: F02, F03, F08, F26 and approved report types.</w:t>
      </w:r>
    </w:p>
    <w:p>
      <w:pPr>
        <w:pStyle w:val="Heading3"/>
      </w:pPr>
      <w:r>
        <w:t>Acceptance criteria</w:t>
      </w:r>
    </w:p>
    <w:p>
      <w:pPr>
        <w:pStyle w:val="ListBullet"/>
      </w:pPr>
      <w:r>
        <w:t>F06 AC01  Quarantined or failed files are inaccessible to the assessment runtime and ordinary download URLs.</w:t>
      </w:r>
    </w:p>
    <w:p>
      <w:pPr>
        <w:pStyle w:val="ListBullet"/>
      </w:pPr>
      <w:r>
        <w:t>F06 AC02  Every accepted value preserves its original text, unit, page and confirmation state.</w:t>
      </w:r>
    </w:p>
    <w:p>
      <w:pPr>
        <w:pStyle w:val="ListBullet"/>
      </w:pPr>
      <w:r>
        <w:t>F06 AC03  A patient mismatch blocks inclusion until an authorized correction or rejection is recorded.</w:t>
      </w:r>
    </w:p>
    <w:p>
      <w:pPr>
        <w:pStyle w:val="ListBullet"/>
      </w:pPr>
      <w:r>
        <w:t>F06 AC04  If report processing fails, text intake still works and the failed report is visibly excluded.</w:t>
      </w:r>
    </w:p>
    <w:p>
      <w:r>
        <w:rPr>
          <w:b/>
        </w:rPr>
        <w:t xml:space="preserve">Definition of done  </w:t>
      </w:r>
      <w:r>
        <w:t>Malware, malformed file, unit, date, OCR and injection test packs pass. Clinical lead approves supported report classes and extraction evaluation. Storage lifecycle tests verify quarantine and temporary object cleanup. Shared DoD in Section 10 also applies.</w:t>
      </w:r>
    </w:p>
    <w:p>
      <w:pPr>
        <w:pStyle w:val="Heading2"/>
      </w:pPr>
      <w:r>
        <w:t>F07 Adaptive follow up questions</w:t>
      </w:r>
    </w:p>
    <w:p>
      <w:pPr>
        <w:keepNext/>
      </w:pPr>
      <w:r>
        <w:rPr>
          <w:b/>
        </w:rPr>
        <w:t xml:space="preserve">Release and ownership  </w:t>
      </w:r>
      <w:r>
        <w:t>P0 | Assessment engineer and clinical content owner</w:t>
      </w:r>
    </w:p>
    <w:p>
      <w:r>
        <w:rPr>
          <w:b/>
        </w:rPr>
        <w:t xml:space="preserve">User outcome and end to end behaviour  </w:t>
      </w:r>
      <w:r>
        <w:t>The question service checks scope, required facts and prior answers, selects the next approved question, and shows one question with suitable single-select, multi-select or free-text controls. The patient answers, skips where allowed, or corrects an earlier answer. Required missing information prevents premature completion.</w:t>
      </w:r>
    </w:p>
    <w:p>
      <w:r>
        <w:rPr>
          <w:b/>
        </w:rPr>
        <w:t xml:space="preserve">Exceptions and recovery  </w:t>
      </w:r>
      <w:r>
        <w:t>Contradictory answers trigger clarification. A multi-select choice of None is exclusive. Repeated questioning is prevented using stable question IDs and answer provenance. Baseline intake is limited to twelve follow-up turns; unresolved required information then follows the approved handoff path.</w:t>
      </w:r>
    </w:p>
    <w:p>
      <w:r>
        <w:rPr>
          <w:b/>
        </w:rPr>
        <w:t xml:space="preserve">Technology and implementation  </w:t>
      </w:r>
      <w:r>
        <w:t>Versioned question graphs and clinical rules, Python workflow state machine, NestJS answer endpoint, React accessible controls and PostgreSQL Answer records. A model may suggest approved question IDs but cannot create unreviewed clinical questions for the pilot.</w:t>
      </w:r>
    </w:p>
    <w:p>
      <w:r>
        <w:rPr>
          <w:b/>
        </w:rPr>
        <w:t xml:space="preserve">Records and dependencies  </w:t>
      </w:r>
      <w:r>
        <w:t>QuestionDefinition, Answer, CaseFact and WorkflowState. Dependencies: F04, F08 and F23.</w:t>
      </w:r>
    </w:p>
    <w:p>
      <w:pPr>
        <w:pStyle w:val="Heading3"/>
      </w:pPr>
      <w:r>
        <w:t>Acceptance criteria</w:t>
      </w:r>
    </w:p>
    <w:p>
      <w:pPr>
        <w:pStyle w:val="ListBullet"/>
      </w:pPr>
      <w:r>
        <w:t>F07 AC01  Skipping a question stores unknown or declined rather than no.</w:t>
      </w:r>
    </w:p>
    <w:p>
      <w:pPr>
        <w:pStyle w:val="ListBullet"/>
      </w:pPr>
      <w:r>
        <w:t>F07 AC02  Previously answered questions are not repeated unless changed context explicitly requires reconfirmation.</w:t>
      </w:r>
    </w:p>
    <w:p>
      <w:pPr>
        <w:pStyle w:val="ListBullet"/>
      </w:pPr>
      <w:r>
        <w:t>F07 AC03  Contradictory responses cannot produce a normal completed assessment without the defined resolution or fallback.</w:t>
      </w:r>
    </w:p>
    <w:p>
      <w:pPr>
        <w:pStyle w:val="ListBullet"/>
      </w:pPr>
      <w:r>
        <w:t>F07 AC04  Exceeding the turn limit preserves the history and shows the approved next care action.</w:t>
      </w:r>
    </w:p>
    <w:p>
      <w:r>
        <w:rPr>
          <w:b/>
        </w:rPr>
        <w:t xml:space="preserve">Definition of done  </w:t>
      </w:r>
      <w:r>
        <w:t>Clinical lead approves the question graph and stopping criteria. All decision paths, exclusions and answer corrections have deterministic tests and an accessible UX review. Shared DoD in Section 10 also applies.</w:t>
      </w:r>
    </w:p>
    <w:p>
      <w:pPr>
        <w:pStyle w:val="Heading2"/>
      </w:pPr>
      <w:r>
        <w:t>F08 Scope checks urgency and immediate escalation</w:t>
      </w:r>
    </w:p>
    <w:p>
      <w:pPr>
        <w:keepNext/>
      </w:pPr>
      <w:r>
        <w:rPr>
          <w:b/>
        </w:rPr>
        <w:t xml:space="preserve">Release and ownership  </w:t>
      </w:r>
      <w:r>
        <w:t>P0 | Clinical lead and safety engineer</w:t>
      </w:r>
    </w:p>
    <w:p>
      <w:r>
        <w:rPr>
          <w:b/>
        </w:rPr>
        <w:t xml:space="preserve">User outcome and end to end behaviour  </w:t>
      </w:r>
      <w:r>
        <w:t>Before assessment and after each confirmed answer, the rule engine checks age and context eligibility, unsupported scope and approved urgency triggers. A matched critical trigger shows the required action immediately across all panels. Regional emergency information is configured by the clinical operator. Routine doctor and medicine cards are suppressed where they conflict.</w:t>
      </w:r>
    </w:p>
    <w:p>
      <w:r>
        <w:rPr>
          <w:b/>
        </w:rPr>
        <w:t xml:space="preserve">Exceptions and recovery  </w:t>
      </w:r>
      <w:r>
        <w:t>Unknown critical context prompts approved clarification or conservative routing. Rule-engine failure blocks reassuring assessments. A routine-directory outage must not hide the emergency action. Clinical reviewers may record a changed urgency decision with a reason but cannot erase the original trigger.</w:t>
      </w:r>
    </w:p>
    <w:p>
      <w:r>
        <w:rPr>
          <w:b/>
        </w:rPr>
        <w:t xml:space="preserve">Technology and implementation  </w:t>
      </w:r>
      <w:r>
        <w:t>Deterministic versioned rules evaluated before model generation, server-authoritative urgency state, regional emergency configuration and a synchronous rule path with cached approved bundles. Model output cannot downgrade rule-assigned urgency.</w:t>
      </w:r>
    </w:p>
    <w:p>
      <w:r>
        <w:rPr>
          <w:b/>
        </w:rPr>
        <w:t xml:space="preserve">Records and dependencies  </w:t>
      </w:r>
      <w:r>
        <w:t>UrgencyDecision, RuleMatch, ScopeDecision and ClinicalBundleVersion. Dependencies: F02, F04, F07, F23 and signed escalation protocol.</w:t>
      </w:r>
    </w:p>
    <w:p>
      <w:pPr>
        <w:pStyle w:val="Heading3"/>
      </w:pPr>
      <w:r>
        <w:t>Acceptance criteria</w:t>
      </w:r>
    </w:p>
    <w:p>
      <w:pPr>
        <w:pStyle w:val="ListBullet"/>
      </w:pPr>
      <w:r>
        <w:t>F08 AC01  All clinician-labelled critical sentinel cases trigger their expected approved action in the frozen release suite.</w:t>
      </w:r>
    </w:p>
    <w:p>
      <w:pPr>
        <w:pStyle w:val="ListBullet"/>
      </w:pPr>
      <w:r>
        <w:t>F08 AC02  An LLM response attempting to downgrade a critical rule is rejected.</w:t>
      </w:r>
    </w:p>
    <w:p>
      <w:pPr>
        <w:pStyle w:val="ListBullet"/>
      </w:pPr>
      <w:r>
        <w:t>F08 AC03  Rule-service failure produces the approved unavailable-care fallback and no reassuring completed result.</w:t>
      </w:r>
    </w:p>
    <w:p>
      <w:pPr>
        <w:pStyle w:val="ListBullet"/>
      </w:pPr>
      <w:r>
        <w:t>F08 AC04  Urgency is visible and keyboard reachable on mobile and desktop without opening a suggestions drawer.</w:t>
      </w:r>
    </w:p>
    <w:p>
      <w:r>
        <w:rPr>
          <w:b/>
        </w:rPr>
        <w:t xml:space="preserve">Definition of done  </w:t>
      </w:r>
      <w:r>
        <w:t>Clinical lead approves scope and escalation rules. Hazard analysis, regional contact checks, failure simulation, rule tests and independent clinical review are recorded. The pilot evaluation is complete; sentinel passage alone is insufficient for general launch. Shared DoD in Section 10 also applies.</w:t>
      </w:r>
    </w:p>
    <w:p>
      <w:pPr>
        <w:pStyle w:val="Heading2"/>
      </w:pPr>
      <w:r>
        <w:t>F09 Bounded assessment and possible causes</w:t>
      </w:r>
    </w:p>
    <w:p>
      <w:pPr>
        <w:keepNext/>
      </w:pPr>
      <w:r>
        <w:rPr>
          <w:b/>
        </w:rPr>
        <w:t xml:space="preserve">Release and ownership  </w:t>
      </w:r>
      <w:r>
        <w:t>P0 | Assessment engineer and clinical lead</w:t>
      </w:r>
    </w:p>
    <w:p>
      <w:r>
        <w:rPr>
          <w:b/>
        </w:rPr>
        <w:t xml:space="preserve">User outcome and end to end behaviour  </w:t>
      </w:r>
      <w:r>
        <w:t>When required information is available and urgency permits, the service creates a bounded assessment from confirmed facts and approved evidence. It returns possible explanations, material alternatives, uncertainty, missing information, urgency and next steps. It validates the whole result, persists a version and publishes it atomically to the workspace.</w:t>
      </w:r>
    </w:p>
    <w:p>
      <w:r>
        <w:rPr>
          <w:b/>
        </w:rPr>
        <w:t xml:space="preserve">Exceptions and recovery  </w:t>
      </w:r>
      <w:r>
        <w:t>Out-of-scope concerns, insufficient evidence, conflicting facts or schema failures produce an explicit unavailable or incomplete result with an approved care route. Candidate probabilities are not shown unless independently calibrated and approved. A timeout preserves inputs without inventing a completed conclusion.</w:t>
      </w:r>
    </w:p>
    <w:p>
      <w:r>
        <w:rPr>
          <w:b/>
        </w:rPr>
        <w:t xml:space="preserve">Technology and implementation  </w:t>
      </w:r>
      <w:r>
        <w:t>FastAPI workflow, Bedrock model adapter, hybrid approved-source retrieval, Pydantic or JSON Schema output validation, deterministic policy checks and PostgreSQL immutable assessment versions. Prompt, model, rule and knowledge versions are pinned together.</w:t>
      </w:r>
    </w:p>
    <w:p>
      <w:r>
        <w:rPr>
          <w:b/>
        </w:rPr>
        <w:t xml:space="preserve">Records and dependencies  </w:t>
      </w:r>
      <w:r>
        <w:t>AssessmentResult, CandidateExplanation, EvidenceLink and EvaluationMetadata. Dependencies: F07, F08, F11 and F23.</w:t>
      </w:r>
    </w:p>
    <w:p>
      <w:pPr>
        <w:pStyle w:val="Heading3"/>
      </w:pPr>
      <w:r>
        <w:t>Acceptance criteria</w:t>
      </w:r>
    </w:p>
    <w:p>
      <w:pPr>
        <w:pStyle w:val="ListBullet"/>
      </w:pPr>
      <w:r>
        <w:t>F09 AC01  Every persisted completed result satisfies the schema and references the exact input and bundle versions.</w:t>
      </w:r>
    </w:p>
    <w:p>
      <w:pPr>
        <w:pStyle w:val="ListBullet"/>
      </w:pPr>
      <w:r>
        <w:t>F09 AC02  No explanation is presented as a confirmed diagnosis unless entered through an authorized clinician workflow.</w:t>
      </w:r>
    </w:p>
    <w:p>
      <w:pPr>
        <w:pStyle w:val="ListBullet"/>
      </w:pPr>
      <w:r>
        <w:t>F09 AC03  Unsupported cases receive a scope message and care route instead of an extrapolated assessment.</w:t>
      </w:r>
    </w:p>
    <w:p>
      <w:pPr>
        <w:pStyle w:val="ListBullet"/>
      </w:pPr>
      <w:r>
        <w:t>F09 AC04  A stale generation cannot become current after an answer or profile version changes.</w:t>
      </w:r>
    </w:p>
    <w:p>
      <w:r>
        <w:rPr>
          <w:b/>
        </w:rPr>
        <w:t xml:space="preserve">Definition of done  </w:t>
      </w:r>
      <w:r>
        <w:t>The independent clinical evaluation passes its signed thresholds and subgroup review. Adversarial, timeout, stale-generation and unsupported-case tests pass. Clinical sign-off applies to the exact released model and content bundle. Shared DoD in Section 10 also applies.</w:t>
      </w:r>
    </w:p>
    <w:p>
      <w:pPr>
        <w:pStyle w:val="Heading2"/>
      </w:pPr>
      <w:r>
        <w:t>F10 Findings workspace and plain language explanations</w:t>
      </w:r>
    </w:p>
    <w:p>
      <w:pPr>
        <w:keepNext/>
      </w:pPr>
      <w:r>
        <w:rPr>
          <w:b/>
        </w:rPr>
        <w:t xml:space="preserve">Release and ownership  </w:t>
      </w:r>
      <w:r>
        <w:t>P0 | Frontend lead and clinical content designer</w:t>
      </w:r>
    </w:p>
    <w:p>
      <w:r>
        <w:rPr>
          <w:b/>
        </w:rPr>
        <w:t xml:space="preserve">User outcome and end to end behaviour  </w:t>
      </w:r>
      <w:r>
        <w:t>The centre panel presents a concise possible explanation, uncertainty and urgency, then a plain-language account and optional clinical terms. Confirmed symptom chips open their supporting answers. An approved illustration or three-step explanation appears only where applicable. Context, Transcript and Note controls open their respective views.</w:t>
      </w:r>
    </w:p>
    <w:p>
      <w:r>
        <w:rPr>
          <w:b/>
        </w:rPr>
        <w:t xml:space="preserve">Exceptions and recovery  </w:t>
      </w:r>
      <w:r>
        <w:t>Missing explanation fields do not leave misleading empty cards. Updating findings are labelled until the replacement version is ready. Clinical and simple views must describe the same result. Decorative illustrations never replace warning text or suggest unsupported bodily findings.</w:t>
      </w:r>
    </w:p>
    <w:p>
      <w:r>
        <w:rPr>
          <w:b/>
        </w:rPr>
        <w:t xml:space="preserve">Technology and implementation  </w:t>
      </w:r>
      <w:r>
        <w:t>Next.js typed assessment renderer, shared design system, Radix accessible panels and semantic server-rendered headings. Use reviewed explanation templates or validated model text; only approved fields enter the page.</w:t>
      </w:r>
    </w:p>
    <w:p>
      <w:r>
        <w:rPr>
          <w:b/>
        </w:rPr>
        <w:t xml:space="preserve">Records and dependencies  </w:t>
      </w:r>
      <w:r>
        <w:t>AssessmentResult display fields, SymptomObservation and ExplanationTemplate. Dependencies: F09, F11, F13 and F14.</w:t>
      </w:r>
    </w:p>
    <w:p>
      <w:pPr>
        <w:pStyle w:val="Heading3"/>
      </w:pPr>
      <w:r>
        <w:t>Acceptance criteria</w:t>
      </w:r>
    </w:p>
    <w:p>
      <w:pPr>
        <w:pStyle w:val="ListBullet"/>
      </w:pPr>
      <w:r>
        <w:t>F10 AC01  Plain and clinical views preserve identical urgency, uncertainty and next actions for the same result ID.</w:t>
      </w:r>
    </w:p>
    <w:p>
      <w:pPr>
        <w:pStyle w:val="ListBullet"/>
      </w:pPr>
      <w:r>
        <w:t>F10 AC02  Each displayed symptom chip links to a confirmed fact or is explicitly labelled uncertain.</w:t>
      </w:r>
    </w:p>
    <w:p>
      <w:pPr>
        <w:pStyle w:val="ListBullet"/>
      </w:pPr>
      <w:r>
        <w:t>F10 AC03  All supported result states have text equivalents and pass keyboard and screen-reader checks.</w:t>
      </w:r>
    </w:p>
    <w:p>
      <w:pPr>
        <w:pStyle w:val="ListBullet"/>
      </w:pPr>
      <w:r>
        <w:t>F10 AC04  Changing answers shows a visible update state and never silently mixes assessment versions.</w:t>
      </w:r>
    </w:p>
    <w:p>
      <w:r>
        <w:rPr>
          <w:b/>
        </w:rPr>
        <w:t xml:space="preserve">Definition of done  </w:t>
      </w:r>
      <w:r>
        <w:t>Clinical copy review, responsive visual regression, comprehension study and accessibility checks pass for every supported assessment state. Shared DoD in Section 10 also applies.</w:t>
      </w:r>
    </w:p>
    <w:p>
      <w:pPr>
        <w:pStyle w:val="Heading2"/>
      </w:pPr>
      <w:r>
        <w:t>F11 Evidence citations and source provenance</w:t>
      </w:r>
    </w:p>
    <w:p>
      <w:pPr>
        <w:keepNext/>
      </w:pPr>
      <w:r>
        <w:rPr>
          <w:b/>
        </w:rPr>
        <w:t xml:space="preserve">Release and ownership  </w:t>
      </w:r>
      <w:r>
        <w:t>P0 | Knowledge engineer and clinical approver</w:t>
      </w:r>
    </w:p>
    <w:p>
      <w:r>
        <w:rPr>
          <w:b/>
        </w:rPr>
        <w:t xml:space="preserve">User outcome and end to end behaviour  </w:t>
      </w:r>
      <w:r>
        <w:t>Every clinically actionable finding and next-step instruction carries evidence links to approved sources. Opening a citation shows source title, author or publisher, publication or review date, jurisdiction and the relevant permitted excerpt. Historical assessments retain the source version that supported them.</w:t>
      </w:r>
    </w:p>
    <w:p>
      <w:r>
        <w:rPr>
          <w:b/>
        </w:rPr>
        <w:t xml:space="preserve">Exceptions and recovery  </w:t>
      </w:r>
      <w:r>
        <w:t>Retrieval excludes unapproved, expired, wrong-region and cross-tenant documents. A fabricated or unresolved citation blocks the affected advice. Source links that later disappear retain permitted metadata and archived content under the source licence. Internet search is not a live clinical authority for patient answers.</w:t>
      </w:r>
    </w:p>
    <w:p>
      <w:r>
        <w:rPr>
          <w:b/>
        </w:rPr>
        <w:t xml:space="preserve">Technology and implementation  </w:t>
      </w:r>
      <w:r>
        <w:t>PostgreSQL metadata, pgvector plus full-text retrieval, scoped queries, source registry and deterministic citation resolver. S3 stores licensed approved source artifacts; evidence validators check IDs and applicability.</w:t>
      </w:r>
    </w:p>
    <w:p>
      <w:r>
        <w:rPr>
          <w:b/>
        </w:rPr>
        <w:t xml:space="preserve">Records and dependencies  </w:t>
      </w:r>
      <w:r>
        <w:t>KnowledgeDocument, SourceVersion, EvidenceLink and LicenceMetadata. Dependencies: F23 and F09.</w:t>
      </w:r>
    </w:p>
    <w:p>
      <w:pPr>
        <w:pStyle w:val="Heading3"/>
      </w:pPr>
      <w:r>
        <w:t>Acceptance criteria</w:t>
      </w:r>
    </w:p>
    <w:p>
      <w:pPr>
        <w:pStyle w:val="ListBullet"/>
      </w:pPr>
      <w:r>
        <w:t>F11 AC01  Each actionable claim maps to at least one permitted approved evidence record or an approved clinical rule.</w:t>
      </w:r>
    </w:p>
    <w:p>
      <w:pPr>
        <w:pStyle w:val="ListBullet"/>
      </w:pPr>
      <w:r>
        <w:t>F11 AC02  A fabricated source ID causes rejection rather than a broken citation in the patient result.</w:t>
      </w:r>
    </w:p>
    <w:p>
      <w:pPr>
        <w:pStyle w:val="ListBullet"/>
      </w:pPr>
      <w:r>
        <w:t>F11 AC03  Tenant A retrieval cannot return tenant B source content or embeddings.</w:t>
      </w:r>
    </w:p>
    <w:p>
      <w:pPr>
        <w:pStyle w:val="ListBullet"/>
      </w:pPr>
      <w:r>
        <w:t>F11 AC04  Historical results resolve their original source version even after a new content release.</w:t>
      </w:r>
    </w:p>
    <w:p>
      <w:r>
        <w:rPr>
          <w:b/>
        </w:rPr>
        <w:t xml:space="preserve">Definition of done  </w:t>
      </w:r>
      <w:r>
        <w:t>Source licensing, applicability metadata and clinical approval are complete. Citation integrity tests and clinician-reviewed evidence relevance checks pass. Shared DoD in Section 10 also applies.</w:t>
      </w:r>
    </w:p>
    <w:p>
      <w:pPr>
        <w:pStyle w:val="Heading2"/>
      </w:pPr>
      <w:r>
        <w:t>F12 Care plan and next action checklist</w:t>
      </w:r>
    </w:p>
    <w:p>
      <w:pPr>
        <w:keepNext/>
      </w:pPr>
      <w:r>
        <w:rPr>
          <w:b/>
        </w:rPr>
        <w:t xml:space="preserve">Release and ownership  </w:t>
      </w:r>
      <w:r>
        <w:t>P0 | Patient experience engineer and clinical lead</w:t>
      </w:r>
    </w:p>
    <w:p>
      <w:r>
        <w:rPr>
          <w:b/>
        </w:rPr>
        <w:t xml:space="preserve">User outcome and end to end behaviour  </w:t>
      </w:r>
      <w:r>
        <w:t>The suggestions panel and findings view show an ordered plan: urgency action first, then approved general care information, monitoring instructions and care handoff. Each item states its action and timeframe where the clinical protocol provides one. Users can mark logistical items complete without altering the clinical assessment.</w:t>
      </w:r>
    </w:p>
    <w:p>
      <w:r>
        <w:rPr>
          <w:b/>
        </w:rPr>
        <w:t xml:space="preserve">Exceptions and recovery  </w:t>
      </w:r>
      <w:r>
        <w:t>Conflicting instructions are rejected during validation. The absence of a available doctor does not remove the recommended care route. An acknowledged item is not interpreted as completed treatment or symptom recovery. Changed symptoms lead to reassessment.</w:t>
      </w:r>
    </w:p>
    <w:p>
      <w:r>
        <w:rPr>
          <w:b/>
        </w:rPr>
        <w:t xml:space="preserve">Technology and implementation  </w:t>
      </w:r>
      <w:r>
        <w:t>Structured CarePlan schema, clinical templates, NestJS task API and React checklist components. Separate clinical directives from patient completion state and appointment workflow state.</w:t>
      </w:r>
    </w:p>
    <w:p>
      <w:r>
        <w:rPr>
          <w:b/>
        </w:rPr>
        <w:t xml:space="preserve">Records and dependencies  </w:t>
      </w:r>
      <w:r>
        <w:t>CarePlan, CarePlanItem and TaskAcknowledgement. Dependencies: F08, F09, F11 and F16.</w:t>
      </w:r>
    </w:p>
    <w:p>
      <w:pPr>
        <w:pStyle w:val="Heading3"/>
      </w:pPr>
      <w:r>
        <w:t>Acceptance criteria</w:t>
      </w:r>
    </w:p>
    <w:p>
      <w:pPr>
        <w:pStyle w:val="ListBullet"/>
      </w:pPr>
      <w:r>
        <w:t>F12 AC01  Urgent actions are first and remain visible when suggestions are collapsed.</w:t>
      </w:r>
    </w:p>
    <w:p>
      <w:pPr>
        <w:pStyle w:val="ListBullet"/>
      </w:pPr>
      <w:r>
        <w:t>F12 AC02  Marking an item done changes only its acknowledgement record, not assessed urgency.</w:t>
      </w:r>
    </w:p>
    <w:p>
      <w:pPr>
        <w:pStyle w:val="ListBullet"/>
      </w:pPr>
      <w:r>
        <w:t>F12 AC03  All clinical plan items include valid evidence or rule provenance.</w:t>
      </w:r>
    </w:p>
    <w:p>
      <w:pPr>
        <w:pStyle w:val="ListBullet"/>
      </w:pPr>
      <w:r>
        <w:t>F12 AC04  A corrected assessment replaces the current plan and preserves the prior plan in history.</w:t>
      </w:r>
    </w:p>
    <w:p>
      <w:r>
        <w:rPr>
          <w:b/>
        </w:rPr>
        <w:t xml:space="preserve">Definition of done  </w:t>
      </w:r>
      <w:r>
        <w:t>Clinical lead approves instruction templates, escalation language and conflict checks. Tests cover missing providers, updates and acknowledgement semantics. Shared DoD in Section 10 also applies.</w:t>
      </w:r>
    </w:p>
    <w:p>
      <w:pPr>
        <w:pStyle w:val="Heading2"/>
      </w:pPr>
      <w:r>
        <w:t>F13 Context and transcript views</w:t>
      </w:r>
    </w:p>
    <w:p>
      <w:pPr>
        <w:keepNext/>
      </w:pPr>
      <w:r>
        <w:rPr>
          <w:b/>
        </w:rPr>
        <w:t xml:space="preserve">Release and ownership  </w:t>
      </w:r>
      <w:r>
        <w:t>P0 | Application engineer</w:t>
      </w:r>
    </w:p>
    <w:p>
      <w:r>
        <w:rPr>
          <w:b/>
        </w:rPr>
        <w:t xml:space="preserve">User outcome and end to end behaviour  </w:t>
      </w:r>
      <w:r>
        <w:t>Context shows the confirmed profile, symptoms, reports and missing information actually used for the selected assessment. Transcript shows patient messages, questions, answers and approved system status messages in order. Patients can correct active facts; clinicians can inspect provenance within authorized cases.</w:t>
      </w:r>
    </w:p>
    <w:p>
      <w:r>
        <w:rPr>
          <w:b/>
        </w:rPr>
        <w:t xml:space="preserve">Exceptions and recovery  </w:t>
      </w:r>
      <w:r>
        <w:t>A profile changed after assessment is shown separately from the historical snapshot. Unconfirmed OCR and transcription are labelled. Deleted or legally restricted data follows retention policy. Internal prompts, chain-of-thought and infrastructure secrets never appear in transcript exports.</w:t>
      </w:r>
    </w:p>
    <w:p>
      <w:r>
        <w:rPr>
          <w:b/>
        </w:rPr>
        <w:t xml:space="preserve">Technology and implementation  </w:t>
      </w:r>
      <w:r>
        <w:t>NestJS read models, PostgreSQL version snapshots, paginated transcript endpoints and accessible side sheets. Field permissions are applied server-side to every view and export.</w:t>
      </w:r>
    </w:p>
    <w:p>
      <w:r>
        <w:rPr>
          <w:b/>
        </w:rPr>
        <w:t xml:space="preserve">Records and dependencies  </w:t>
      </w:r>
      <w:r>
        <w:t>ContextSnapshot, Message, Answer and ReportConfirmation. Dependencies: F02, F03, F04 and F25.</w:t>
      </w:r>
    </w:p>
    <w:p>
      <w:pPr>
        <w:pStyle w:val="Heading3"/>
      </w:pPr>
      <w:r>
        <w:t>Acceptance criteria</w:t>
      </w:r>
    </w:p>
    <w:p>
      <w:pPr>
        <w:pStyle w:val="ListBullet"/>
      </w:pPr>
      <w:r>
        <w:t>F13 AC01  Selecting a historical assessment shows its original context rather than the current profile.</w:t>
      </w:r>
    </w:p>
    <w:p>
      <w:pPr>
        <w:pStyle w:val="ListBullet"/>
      </w:pPr>
      <w:r>
        <w:t>F13 AC02  Transcript order remains stable across pagination and reconnects.</w:t>
      </w:r>
    </w:p>
    <w:p>
      <w:pPr>
        <w:pStyle w:val="ListBullet"/>
      </w:pPr>
      <w:r>
        <w:t>F13 AC03  Unauthorized roles cannot obtain protected content through either UI or direct API calls.</w:t>
      </w:r>
    </w:p>
    <w:p>
      <w:pPr>
        <w:pStyle w:val="ListBullet"/>
      </w:pPr>
      <w:r>
        <w:t>F13 AC04  User-facing transcript excludes model prompts, reasoning traces and hidden operational payloads.</w:t>
      </w:r>
    </w:p>
    <w:p>
      <w:r>
        <w:rPr>
          <w:b/>
        </w:rPr>
        <w:t xml:space="preserve">Definition of done  </w:t>
      </w:r>
      <w:r>
        <w:t>Snapshot, provenance, permission, pagination and export tests pass. Product reviews the correction flow and historical labels. Shared DoD in Section 10 also applies.</w:t>
      </w:r>
    </w:p>
    <w:p>
      <w:pPr>
        <w:pStyle w:val="Heading2"/>
      </w:pPr>
      <w:r>
        <w:t>F14 Clinical notes summary export and sharing</w:t>
      </w:r>
    </w:p>
    <w:p>
      <w:pPr>
        <w:keepNext/>
      </w:pPr>
      <w:r>
        <w:rPr>
          <w:b/>
        </w:rPr>
        <w:t xml:space="preserve">Release and ownership  </w:t>
      </w:r>
      <w:r>
        <w:t>P1 | Clinical workflow engineer and privacy lead</w:t>
      </w:r>
    </w:p>
    <w:p>
      <w:r>
        <w:rPr>
          <w:b/>
        </w:rPr>
        <w:t xml:space="preserve">User outcome and end to end behaviour  </w:t>
      </w:r>
      <w:r>
        <w:t>Nora generates a structured summary of the concern, history, confirmed answers, possible explanations, urgency and sources. A patient can download it or explicitly share it with a selected provider. A clinician may edit and sign a separate note; the original AI summary remains attributable.</w:t>
      </w:r>
    </w:p>
    <w:p>
      <w:r>
        <w:rPr>
          <w:b/>
        </w:rPr>
        <w:t xml:space="preserve">Exceptions and recovery  </w:t>
      </w:r>
      <w:r>
        <w:t>An unsigned note is labelled draft. A failed export offers retry without changing the assessment. Revoked sharing disables future link access, although previously downloaded copies cannot be recalled. Sharing is specific to recipient, case, purpose and expiry.</w:t>
      </w:r>
    </w:p>
    <w:p>
      <w:r>
        <w:rPr>
          <w:b/>
        </w:rPr>
        <w:t xml:space="preserve">Technology and implementation  </w:t>
      </w:r>
      <w:r>
        <w:t>NestJS summary API, approved HTML templates and server-side PDF rendering, private S3 export objects, short-lived authorized links and clinician signature metadata. Scope provider access using server-side grants rather than public file URLs.</w:t>
      </w:r>
    </w:p>
    <w:p>
      <w:r>
        <w:rPr>
          <w:b/>
        </w:rPr>
        <w:t xml:space="preserve">Records and dependencies  </w:t>
      </w:r>
      <w:r>
        <w:t>SummaryVersion, ClinicalNote, Signature and SharingGrant. Dependencies: F02, F09, F13, F22, F25 and F26.</w:t>
      </w:r>
    </w:p>
    <w:p>
      <w:pPr>
        <w:pStyle w:val="Heading3"/>
      </w:pPr>
      <w:r>
        <w:t>Acceptance criteria</w:t>
      </w:r>
    </w:p>
    <w:p>
      <w:pPr>
        <w:pStyle w:val="ListBullet"/>
      </w:pPr>
      <w:r>
        <w:t>F14 AC01  Exports include assessment time, input/result version and AI or clinician-review status.</w:t>
      </w:r>
    </w:p>
    <w:p>
      <w:pPr>
        <w:pStyle w:val="ListBullet"/>
      </w:pPr>
      <w:r>
        <w:t>F14 AC02  A recipient without a current authorized grant cannot read a shared summary.</w:t>
      </w:r>
    </w:p>
    <w:p>
      <w:pPr>
        <w:pStyle w:val="ListBullet"/>
      </w:pPr>
      <w:r>
        <w:t>F14 AC03  Revoking a grant denies future access within 60 seconds.</w:t>
      </w:r>
    </w:p>
    <w:p>
      <w:pPr>
        <w:pStyle w:val="ListBullet"/>
      </w:pPr>
      <w:r>
        <w:t>F14 AC04  Signing a note records clinician identity and preserves prior AI and clinician versions.</w:t>
      </w:r>
    </w:p>
    <w:p>
      <w:r>
        <w:rPr>
          <w:b/>
        </w:rPr>
        <w:t xml:space="preserve">Definition of done  </w:t>
      </w:r>
      <w:r>
        <w:t>Clinical templates, privacy controls, recipient-specific access and export accessibility are approved. Signed-note, revocation and expiry tests pass. Shared DoD in Section 10 also applies.</w:t>
      </w:r>
    </w:p>
    <w:p>
      <w:pPr>
        <w:pStyle w:val="Heading2"/>
      </w:pPr>
      <w:r>
        <w:t>F15 Medicines education and controlled guidance</w:t>
      </w:r>
    </w:p>
    <w:p>
      <w:pPr>
        <w:keepNext/>
      </w:pPr>
      <w:r>
        <w:rPr>
          <w:b/>
        </w:rPr>
        <w:t xml:space="preserve">Release and ownership  </w:t>
      </w:r>
      <w:r>
        <w:t>P0 education and P2 personalized guidance | Clinical pharmacist and assessment engineer</w:t>
      </w:r>
    </w:p>
    <w:p>
      <w:r>
        <w:rPr>
          <w:b/>
        </w:rPr>
        <w:t xml:space="preserve">User outcome and end to end behaviour  </w:t>
      </w:r>
      <w:r>
        <w:t>The Medicines area provides reviewed educational entries with generic name, purpose, warnings and source. At P2, permitted personalized information requires complete approved context and runs deterministic contraindication and interaction checks before display. Any prescription action stays in a separately authorized clinician process.</w:t>
      </w:r>
    </w:p>
    <w:p>
      <w:r>
        <w:rPr>
          <w:b/>
        </w:rPr>
        <w:t xml:space="preserve">Exceptions and recovery  </w:t>
      </w:r>
      <w:r>
        <w:t>Missing allergy, current medicines or required patient context blocks personalized suggestions. Unsupported combinations, catalogue gaps and ambiguous medicine names route to a clinician or pharmacist. The model cannot invent dosing, recommend stopping prescribed treatment, or bypass a formulary rule.</w:t>
      </w:r>
    </w:p>
    <w:p>
      <w:r>
        <w:rPr>
          <w:b/>
        </w:rPr>
        <w:t xml:space="preserve">Technology and implementation  </w:t>
      </w:r>
      <w:r>
        <w:t>Licensed region-specific medicines catalogue, PostgreSQL formulary, deterministic safety engine, clinical content templates and typed renderer. LLM use is limited to approved explanations; pharmacological knowledge is not sourced from model memory.</w:t>
      </w:r>
    </w:p>
    <w:p>
      <w:r>
        <w:rPr>
          <w:b/>
        </w:rPr>
        <w:t xml:space="preserve">Records and dependencies  </w:t>
      </w:r>
      <w:r>
        <w:t>MedicineEntry, FormularyVersion, SafetyCheck and MedicationGuidance. Dependencies: F02, F08, F11, F23 and a licensed medicines data source.</w:t>
      </w:r>
    </w:p>
    <w:p>
      <w:pPr>
        <w:pStyle w:val="Heading3"/>
      </w:pPr>
      <w:r>
        <w:t>Acceptance criteria</w:t>
      </w:r>
    </w:p>
    <w:p>
      <w:pPr>
        <w:pStyle w:val="ListBullet"/>
      </w:pPr>
      <w:r>
        <w:t>F15 AC01  P0 shows educational content only and cannot return personalized dosing through UI or API.</w:t>
      </w:r>
    </w:p>
    <w:p>
      <w:pPr>
        <w:pStyle w:val="ListBullet"/>
      </w:pPr>
      <w:r>
        <w:t>F15 AC02  P2 missing required context blocks personalized guidance with a specific recovery action.</w:t>
      </w:r>
    </w:p>
    <w:p>
      <w:pPr>
        <w:pStyle w:val="ListBullet"/>
      </w:pPr>
      <w:r>
        <w:t>F15 AC03  All critical contraindication sentinel cases are blocked in the approved release suite.</w:t>
      </w:r>
    </w:p>
    <w:p>
      <w:pPr>
        <w:pStyle w:val="ListBullet"/>
      </w:pPr>
      <w:r>
        <w:t>F15 AC04  Every displayed guidance item records the catalogue and rule versions that authorized it.</w:t>
      </w:r>
    </w:p>
    <w:p>
      <w:r>
        <w:rPr>
          <w:b/>
        </w:rPr>
        <w:t xml:space="preserve">Definition of done  </w:t>
      </w:r>
      <w:r>
        <w:t>Pharmacist and clinical leads approve the scope and validation plan. Legal classification, data licensing, interaction coverage and risk review are complete before P2 enablement. Shared DoD in Section 10 also applies.</w:t>
      </w:r>
    </w:p>
    <w:p>
      <w:pPr>
        <w:pStyle w:val="Heading2"/>
      </w:pPr>
      <w:r>
        <w:t>F16 Doctor discovery profiles and recommendation</w:t>
      </w:r>
    </w:p>
    <w:p>
      <w:pPr>
        <w:keepNext/>
      </w:pPr>
      <w:r>
        <w:rPr>
          <w:b/>
        </w:rPr>
        <w:t xml:space="preserve">Release and ownership  </w:t>
      </w:r>
      <w:r>
        <w:t>P0 | Care navigation engineer and provider operations</w:t>
      </w:r>
    </w:p>
    <w:p>
      <w:r>
        <w:rPr>
          <w:b/>
        </w:rPr>
        <w:t xml:space="preserve">User outcome and end to end behaviour  </w:t>
      </w:r>
      <w:r>
        <w:t>Find a doctor opens providers matching the recommended specialty and patient location or chosen area. Users filter by consultation mode, availability, language, fee and accessibility options. Profiles show verified qualifications, clinic, verification date and booking method. The recommendation states its clinical or logistical reason.</w:t>
      </w:r>
    </w:p>
    <w:p>
      <w:r>
        <w:rPr>
          <w:b/>
        </w:rPr>
        <w:t xml:space="preserve">Exceptions and recovery  </w:t>
      </w:r>
      <w:r>
        <w:t>Location permission is optional and manual area search remains available. No matches offer a broader area or approved care route. Stale schedules show last updated and cannot imply live availability. Publication counts and H-index are omitted unless independently verified and useful to the buyer.</w:t>
      </w:r>
    </w:p>
    <w:p>
      <w:r>
        <w:rPr>
          <w:b/>
        </w:rPr>
        <w:t xml:space="preserve">Technology and implementation  </w:t>
      </w:r>
      <w:r>
        <w:t>NestJS provider directory, PostgreSQL full-text and optional PostGIS, licensed geocoding adapter and accessible result cards. Specialty mapping is controlled by clinical rules; ranking is deterministic and inspectable.</w:t>
      </w:r>
    </w:p>
    <w:p>
      <w:r>
        <w:rPr>
          <w:b/>
        </w:rPr>
        <w:t xml:space="preserve">Records and dependencies  </w:t>
      </w:r>
      <w:r>
        <w:t>Provider, Credential, Clinic, SpecialtyMapping and DirectoryVersion. Dependencies: F12, F21 and a contracted provider dataset.</w:t>
      </w:r>
    </w:p>
    <w:p>
      <w:pPr>
        <w:pStyle w:val="Heading3"/>
      </w:pPr>
      <w:r>
        <w:t>Acceptance criteria</w:t>
      </w:r>
    </w:p>
    <w:p>
      <w:pPr>
        <w:pStyle w:val="ListBullet"/>
      </w:pPr>
      <w:r>
        <w:t>F16 AC01  Every listed provider has a documented verification record and booking method.</w:t>
      </w:r>
    </w:p>
    <w:p>
      <w:pPr>
        <w:pStyle w:val="ListBullet"/>
      </w:pPr>
      <w:r>
        <w:t>F16 AC02  Manual location entry provides discovery without browser geolocation permission.</w:t>
      </w:r>
    </w:p>
    <w:p>
      <w:pPr>
        <w:pStyle w:val="ListBullet"/>
      </w:pPr>
      <w:r>
        <w:t>F16 AC03  A no-match result preserves the recommended specialty and offers another care route.</w:t>
      </w:r>
    </w:p>
    <w:p>
      <w:pPr>
        <w:pStyle w:val="ListBullet"/>
      </w:pPr>
      <w:r>
        <w:t>F16 AC04  Sponsored listings, if enabled later, are labelled and cannot override urgency or required specialty rules.</w:t>
      </w:r>
    </w:p>
    <w:p>
      <w:r>
        <w:rPr>
          <w:b/>
        </w:rPr>
        <w:t xml:space="preserve">Definition of done  </w:t>
      </w:r>
      <w:r>
        <w:t>Provider operations verifies the pilot dataset. Search, geography, ranking, stale-data and no-match tests pass; recommendation explanations are approved. Shared DoD in Section 10 also applies.</w:t>
      </w:r>
    </w:p>
    <w:p>
      <w:pPr>
        <w:pStyle w:val="Heading2"/>
      </w:pPr>
      <w:r>
        <w:t>F17 External appointment handoff</w:t>
      </w:r>
    </w:p>
    <w:p>
      <w:pPr>
        <w:keepNext/>
      </w:pPr>
      <w:r>
        <w:rPr>
          <w:b/>
        </w:rPr>
        <w:t xml:space="preserve">Release and ownership  </w:t>
      </w:r>
      <w:r>
        <w:t>P0 | Care navigation engineer</w:t>
      </w:r>
    </w:p>
    <w:p>
      <w:r>
        <w:rPr>
          <w:b/>
        </w:rPr>
        <w:t xml:space="preserve">User outcome and end to end behaviour  </w:t>
      </w:r>
      <w:r>
        <w:t>At P0, the patient selects a provider and opens its validated booking page or contact channel. Nora explains that confirmation occurs with the provider. When F14 is enabled, explicit permission allows a shareable summary; Nora does not transmit the full case merely because the link was clicked.</w:t>
      </w:r>
    </w:p>
    <w:p>
      <w:r>
        <w:rPr>
          <w:b/>
        </w:rPr>
        <w:t xml:space="preserve">Exceptions and recovery  </w:t>
      </w:r>
      <w:r>
        <w:t>A missing or invalid provider link disables the handoff and shows another contact method. Returning to Nora leaves the assessment intact. The patient may record an appointment manually, but the status clearly indicates patient reported rather than provider confirmed.</w:t>
      </w:r>
    </w:p>
    <w:p>
      <w:r>
        <w:rPr>
          <w:b/>
        </w:rPr>
        <w:t xml:space="preserve">Technology and implementation  </w:t>
      </w:r>
      <w:r>
        <w:t>Validated provider URLs, allowlisted external navigation, NestJS referral event service and consent-controlled summary grants. Do not place symptoms or patient identifiers in external URL query strings.</w:t>
      </w:r>
    </w:p>
    <w:p>
      <w:r>
        <w:rPr>
          <w:b/>
        </w:rPr>
        <w:t xml:space="preserve">Records and dependencies  </w:t>
      </w:r>
      <w:r>
        <w:t>Referral, HandoffEvent and optional PatientReportedAppointment. Dependencies: F16 and sharing F14 when enabled.</w:t>
      </w:r>
    </w:p>
    <w:p>
      <w:pPr>
        <w:pStyle w:val="Heading3"/>
      </w:pPr>
      <w:r>
        <w:t>Acceptance criteria</w:t>
      </w:r>
    </w:p>
    <w:p>
      <w:pPr>
        <w:pStyle w:val="ListBullet"/>
      </w:pPr>
      <w:r>
        <w:t>F17 AC01  External handoff never produces a provider-confirmed status without a provider confirmation reference.</w:t>
      </w:r>
    </w:p>
    <w:p>
      <w:pPr>
        <w:pStyle w:val="ListBullet"/>
      </w:pPr>
      <w:r>
        <w:t>F17 AC02  No health data appears in the external URL or analytics event.</w:t>
      </w:r>
    </w:p>
    <w:p>
      <w:pPr>
        <w:pStyle w:val="ListBullet"/>
      </w:pPr>
      <w:r>
        <w:t>F17 AC03  The patient sees the external destination and confirmation responsibility before leaving.</w:t>
      </w:r>
    </w:p>
    <w:p>
      <w:pPr>
        <w:pStyle w:val="ListBullet"/>
      </w:pPr>
      <w:r>
        <w:t>F17 AC04  Returning from handoff restores the same assessment and care plan.</w:t>
      </w:r>
    </w:p>
    <w:p>
      <w:r>
        <w:rPr>
          <w:b/>
        </w:rPr>
        <w:t xml:space="preserve">Definition of done  </w:t>
      </w:r>
      <w:r>
        <w:t>Pilot provider destinations are verified. Privacy, invalid-link, external-navigation and return-flow tests pass. The distinction between handoff and confirmation is approved in patient copy. Shared DoD in Section 10 also applies.</w:t>
      </w:r>
    </w:p>
    <w:p>
      <w:pPr>
        <w:pStyle w:val="Heading2"/>
      </w:pPr>
      <w:r>
        <w:t>F18 Live appointment booking and reconciliation</w:t>
      </w:r>
    </w:p>
    <w:p>
      <w:pPr>
        <w:keepNext/>
      </w:pPr>
      <w:r>
        <w:rPr>
          <w:b/>
        </w:rPr>
        <w:t xml:space="preserve">Release and ownership  </w:t>
      </w:r>
      <w:r>
        <w:t>P1 | Scheduling engineer and provider operations</w:t>
      </w:r>
    </w:p>
    <w:p>
      <w:r>
        <w:rPr>
          <w:b/>
        </w:rPr>
        <w:t xml:space="preserve">User outcome and end to end behaviour  </w:t>
      </w:r>
      <w:r>
        <w:t>The patient selects a provider, consultation type and live slot, reviews fee and time zone, and confirms. Nora revalidates availability, sends an idempotent booking request, records the provider reference and shows confirmation. Provider events and reconciliation keep both systems aligned.</w:t>
      </w:r>
    </w:p>
    <w:p>
      <w:r>
        <w:rPr>
          <w:b/>
        </w:rPr>
        <w:t xml:space="preserve">Exceptions and recovery  </w:t>
      </w:r>
      <w:r>
        <w:t>A taken slot shows alternatives. Timeout produces pending confirmation. Retries reuse the same booking reference. Rescheduling and cancellation follow explicit provider policy; a replacement is not silently booked twice. Webhooks arriving out of order cannot revert newer confirmed state.</w:t>
      </w:r>
    </w:p>
    <w:p>
      <w:r>
        <w:rPr>
          <w:b/>
        </w:rPr>
        <w:t xml:space="preserve">Technology and implementation  </w:t>
      </w:r>
      <w:r>
        <w:t>Provider scheduling adapter, NestJS appointment service, PostgreSQL transaction/outbox, BullMQ reconciliation jobs and signed webhook endpoints. Store UTC timestamps plus IANA time zone; validate adapter state transitions.</w:t>
      </w:r>
    </w:p>
    <w:p>
      <w:r>
        <w:rPr>
          <w:b/>
        </w:rPr>
        <w:t xml:space="preserve">Records and dependencies  </w:t>
      </w:r>
      <w:r>
        <w:t>Appointment, Slot, BookingAttempt, ProviderReference and WebhookEvent. Dependencies: F16, F21, F25 and provider API agreement.</w:t>
      </w:r>
    </w:p>
    <w:p>
      <w:pPr>
        <w:pStyle w:val="Heading3"/>
      </w:pPr>
      <w:r>
        <w:t>Acceptance criteria</w:t>
      </w:r>
    </w:p>
    <w:p>
      <w:pPr>
        <w:pStyle w:val="ListBullet"/>
      </w:pPr>
      <w:r>
        <w:t>F18 AC01  Twenty concurrent requests for one single-capacity slot produce at most one provider-confirmed appointment.</w:t>
      </w:r>
    </w:p>
    <w:p>
      <w:pPr>
        <w:pStyle w:val="ListBullet"/>
      </w:pPr>
      <w:r>
        <w:t>F18 AC02  Repeated confirmation requests with one idempotency key cannot create duplicate appointments.</w:t>
      </w:r>
    </w:p>
    <w:p>
      <w:pPr>
        <w:pStyle w:val="ListBullet"/>
      </w:pPr>
      <w:r>
        <w:t>F18 AC03  Provider timeout shows pending and reconciliation reaches a confirmed or failed terminal state.</w:t>
      </w:r>
    </w:p>
    <w:p>
      <w:pPr>
        <w:pStyle w:val="ListBullet"/>
      </w:pPr>
      <w:r>
        <w:t>F18 AC04  Cancel and reschedule statuses match provider acknowledgement; times are correct across daylight-saving changes.</w:t>
      </w:r>
    </w:p>
    <w:p>
      <w:r>
        <w:rPr>
          <w:b/>
        </w:rPr>
        <w:t xml:space="preserve">Definition of done  </w:t>
      </w:r>
      <w:r>
        <w:t>Provider sandbox certification, race and timeout tests, webhook verification and reconciliation runbook are complete. Operations signs off all terminal and pending states. Shared DoD in Section 10 also applies.</w:t>
      </w:r>
    </w:p>
    <w:p>
      <w:pPr>
        <w:pStyle w:val="Heading2"/>
      </w:pPr>
      <w:r>
        <w:t>F19 Notifications reminders and preferences</w:t>
      </w:r>
    </w:p>
    <w:p>
      <w:pPr>
        <w:keepNext/>
      </w:pPr>
      <w:r>
        <w:rPr>
          <w:b/>
        </w:rPr>
        <w:t xml:space="preserve">Release and ownership  </w:t>
      </w:r>
      <w:r>
        <w:t>P1 | Communications engineer and privacy lead</w:t>
      </w:r>
    </w:p>
    <w:p>
      <w:r>
        <w:rPr>
          <w:b/>
        </w:rPr>
        <w:t xml:space="preserve">User outcome and end to end behaviour  </w:t>
      </w:r>
      <w:r>
        <w:t>Patients configure permitted channels and reminders. Nora sends appointment confirmations, logistics reminders, clinician-review availability and consent-related notices. In-app notifications deep link to authorized content after sign in. Delivery state is visible to operations.</w:t>
      </w:r>
    </w:p>
    <w:p>
      <w:r>
        <w:rPr>
          <w:b/>
        </w:rPr>
        <w:t xml:space="preserve">Exceptions and recovery  </w:t>
      </w:r>
      <w:r>
        <w:t>Messages contain minimal logistics and no symptom detail by default. Unsubscribe stops optional notifications. Transactional and mandatory notices follow the approved policy. Failed delivery retries with limits and a dead-letter queue; a delivery receipt does not prove that the patient acted.</w:t>
      </w:r>
    </w:p>
    <w:p>
      <w:r>
        <w:rPr>
          <w:b/>
        </w:rPr>
        <w:t xml:space="preserve">Technology and implementation  </w:t>
      </w:r>
      <w:r>
        <w:t>SES and approved regional SMS adapter, in-app notification service, PostgreSQL preferences, scheduled jobs and delivery callbacks. Redact message payloads in logs and separate consent by channel and purpose.</w:t>
      </w:r>
    </w:p>
    <w:p>
      <w:r>
        <w:rPr>
          <w:b/>
        </w:rPr>
        <w:t xml:space="preserve">Records and dependencies  </w:t>
      </w:r>
      <w:r>
        <w:t>Notification, DeliveryAttempt, Preference and TemplateVersion. Dependencies: F02, F18 and F26.</w:t>
      </w:r>
    </w:p>
    <w:p>
      <w:pPr>
        <w:pStyle w:val="Heading3"/>
      </w:pPr>
      <w:r>
        <w:t>Acceptance criteria</w:t>
      </w:r>
    </w:p>
    <w:p>
      <w:pPr>
        <w:pStyle w:val="ListBullet"/>
      </w:pPr>
      <w:r>
        <w:t>F19 AC01  Disabled optional channels receive no new optional notification after preference update.</w:t>
      </w:r>
    </w:p>
    <w:p>
      <w:pPr>
        <w:pStyle w:val="ListBullet"/>
      </w:pPr>
      <w:r>
        <w:t>F19 AC02  Unauthenticated deep links cannot reveal patient or appointment details.</w:t>
      </w:r>
    </w:p>
    <w:p>
      <w:pPr>
        <w:pStyle w:val="ListBullet"/>
      </w:pPr>
      <w:r>
        <w:t>F19 AC03  Provider callback retries do not generate duplicate messages.</w:t>
      </w:r>
    </w:p>
    <w:p>
      <w:pPr>
        <w:pStyle w:val="ListBullet"/>
      </w:pPr>
      <w:r>
        <w:t>F19 AC04  Lock-screen and email preview content contains no clinical details unless an explicitly approved opt-in template permits them.</w:t>
      </w:r>
    </w:p>
    <w:p>
      <w:r>
        <w:rPr>
          <w:b/>
        </w:rPr>
        <w:t xml:space="preserve">Definition of done  </w:t>
      </w:r>
      <w:r>
        <w:t>Templates and consent rules pass privacy review. Retry, callback, localization and preference tests pass. Operations has a delivery failure dashboard and runbook. Shared DoD in Section 10 also applies.</w:t>
      </w:r>
    </w:p>
    <w:p>
      <w:pPr>
        <w:pStyle w:val="Heading2"/>
      </w:pPr>
      <w:r>
        <w:t>F20 Follow up and reassessment</w:t>
      </w:r>
    </w:p>
    <w:p>
      <w:pPr>
        <w:keepNext/>
      </w:pPr>
      <w:r>
        <w:rPr>
          <w:b/>
        </w:rPr>
        <w:t xml:space="preserve">Release and ownership  </w:t>
      </w:r>
      <w:r>
        <w:t>P1 | Patient experience engineer and clinical lead</w:t>
      </w:r>
    </w:p>
    <w:p>
      <w:r>
        <w:rPr>
          <w:b/>
        </w:rPr>
        <w:t xml:space="preserve">User outcome and end to end behaviour  </w:t>
      </w:r>
      <w:r>
        <w:t>After a completed assessment, the patient can report a change or respond to an approved follow-up prompt. Nora creates a linked reassessment with the prior snapshot visible, asks about changed facts, runs urgency checks again and produces a new versioned result. Clinician follow-up requests appear separately from automated reminders.</w:t>
      </w:r>
    </w:p>
    <w:p>
      <w:r>
        <w:rPr>
          <w:b/>
        </w:rPr>
        <w:t xml:space="preserve">Exceptions and recovery  </w:t>
      </w:r>
      <w:r>
        <w:t>Old assessments are not assumed to describe current symptoms. An unanswered reminder is not clinical deterioration or recovery. New urgent symptoms bypass routine follow-up. Reassessment is unavailable for unsupported scope and routes to care.</w:t>
      </w:r>
    </w:p>
    <w:p>
      <w:r>
        <w:rPr>
          <w:b/>
        </w:rPr>
        <w:t xml:space="preserve">Technology and implementation  </w:t>
      </w:r>
      <w:r>
        <w:t>Session linkage in PostgreSQL, approved follow-up rules, NestJS scheduled tasks and the same assessment runtime used for new checks. No continuous hidden monitoring or model inference from inactivity.</w:t>
      </w:r>
    </w:p>
    <w:p>
      <w:r>
        <w:rPr>
          <w:b/>
        </w:rPr>
        <w:t xml:space="preserve">Records and dependencies  </w:t>
      </w:r>
      <w:r>
        <w:t>FollowUpRequest, LinkedAssessment and ChangeObservation. Dependencies: F03, F08, F09 and F19.</w:t>
      </w:r>
    </w:p>
    <w:p>
      <w:pPr>
        <w:pStyle w:val="Heading3"/>
      </w:pPr>
      <w:r>
        <w:t>Acceptance criteria</w:t>
      </w:r>
    </w:p>
    <w:p>
      <w:pPr>
        <w:pStyle w:val="ListBullet"/>
      </w:pPr>
      <w:r>
        <w:t>F20 AC01  A follow-up creates a new linked case and preserves the previous assessment.</w:t>
      </w:r>
    </w:p>
    <w:p>
      <w:pPr>
        <w:pStyle w:val="ListBullet"/>
      </w:pPr>
      <w:r>
        <w:t>F20 AC02  All changed confirmed facts run through current approved urgency rules.</w:t>
      </w:r>
    </w:p>
    <w:p>
      <w:pPr>
        <w:pStyle w:val="ListBullet"/>
      </w:pPr>
      <w:r>
        <w:t>F20 AC03  No response is stored as unanswered and cannot become improved or worsened status.</w:t>
      </w:r>
    </w:p>
    <w:p>
      <w:pPr>
        <w:pStyle w:val="ListBullet"/>
      </w:pPr>
      <w:r>
        <w:t>F20 AC04  The user can decline optional follow-up without losing assessment history access.</w:t>
      </w:r>
    </w:p>
    <w:p>
      <w:r>
        <w:rPr>
          <w:b/>
        </w:rPr>
        <w:t xml:space="preserve">Definition of done  </w:t>
      </w:r>
      <w:r>
        <w:t>Clinical lead approves follow-up triggers, timing and wording. Tests cover changed symptoms, no response, opt-out and version linkage. Shared DoD in Section 10 also applies.</w:t>
      </w:r>
    </w:p>
    <w:p>
      <w:pPr>
        <w:pStyle w:val="Heading2"/>
      </w:pPr>
      <w:r>
        <w:t>F21 Provider directory and schedule operations</w:t>
      </w:r>
    </w:p>
    <w:p>
      <w:pPr>
        <w:keepNext/>
      </w:pPr>
      <w:r>
        <w:rPr>
          <w:b/>
        </w:rPr>
        <w:t xml:space="preserve">Release and ownership  </w:t>
      </w:r>
      <w:r>
        <w:t>P0 directory and P1 schedules | Provider operations and scheduling engineer</w:t>
      </w:r>
    </w:p>
    <w:p>
      <w:r>
        <w:rPr>
          <w:b/>
        </w:rPr>
        <w:t xml:space="preserve">User outcome and end to end behaviour  </w:t>
      </w:r>
      <w:r>
        <w:t>Authorized operations staff import or create provider profiles, verify credentials, assign specialties and clinics, and publish approved profiles. At P1, provider staff manage availability, exceptions and consultation types or synchronize them from a contracted scheduling source. Changes are auditable.</w:t>
      </w:r>
    </w:p>
    <w:p>
      <w:r>
        <w:rPr>
          <w:b/>
        </w:rPr>
        <w:t xml:space="preserve">Exceptions and recovery  </w:t>
      </w:r>
      <w:r>
        <w:t>Duplicate imports are detected using provider and clinic identifiers. Expired credentials flag or unpublish the profile according to policy. Conflicting schedules require reconciliation. A care coordinator cannot alter clinical recommendations or publish unverified qualifications.</w:t>
      </w:r>
    </w:p>
    <w:p>
      <w:r>
        <w:rPr>
          <w:b/>
        </w:rPr>
        <w:t xml:space="preserve">Technology and implementation  </w:t>
      </w:r>
      <w:r>
        <w:t>NestJS administrative APIs, CSV validation and import jobs, PostgreSQL provider records, role guards and schedule adapter. Separate draft, verified, published and suspended states.</w:t>
      </w:r>
    </w:p>
    <w:p>
      <w:r>
        <w:rPr>
          <w:b/>
        </w:rPr>
        <w:t xml:space="preserve">Records and dependencies  </w:t>
      </w:r>
      <w:r>
        <w:t>Provider, CredentialReview, Clinic, Schedule and ImportJob. Dependencies: F01, F24, F25 and provider agreements.</w:t>
      </w:r>
    </w:p>
    <w:p>
      <w:pPr>
        <w:pStyle w:val="Heading3"/>
      </w:pPr>
      <w:r>
        <w:t>Acceptance criteria</w:t>
      </w:r>
    </w:p>
    <w:p>
      <w:pPr>
        <w:pStyle w:val="ListBullet"/>
      </w:pPr>
      <w:r>
        <w:t>F21 AC01  Unverified or suspended providers are excluded from patient discovery.</w:t>
      </w:r>
    </w:p>
    <w:p>
      <w:pPr>
        <w:pStyle w:val="ListBullet"/>
      </w:pPr>
      <w:r>
        <w:t>F21 AC02  Import validation reports row-level errors and cannot partially publish invalid records.</w:t>
      </w:r>
    </w:p>
    <w:p>
      <w:pPr>
        <w:pStyle w:val="ListBullet"/>
      </w:pPr>
      <w:r>
        <w:t>F21 AC03  Only an authorized verifier can publish credential changes; changes retain actor and timestamp.</w:t>
      </w:r>
    </w:p>
    <w:p>
      <w:pPr>
        <w:pStyle w:val="ListBullet"/>
      </w:pPr>
      <w:r>
        <w:t>F21 AC04  Published schedule changes invalidate affected cached availability without cancelling confirmed visits silently.</w:t>
      </w:r>
    </w:p>
    <w:p>
      <w:r>
        <w:rPr>
          <w:b/>
        </w:rPr>
        <w:t xml:space="preserve">Definition of done  </w:t>
      </w:r>
      <w:r>
        <w:t>Provider onboarding and suspension procedures are documented. Import, role, credential expiry and schedule-change tests pass; the pilot directory is verified. Shared DoD in Section 10 also applies.</w:t>
      </w:r>
    </w:p>
    <w:p>
      <w:pPr>
        <w:pStyle w:val="Heading2"/>
      </w:pPr>
      <w:r>
        <w:t>F22 Clinician review queue and human decisions</w:t>
      </w:r>
    </w:p>
    <w:p>
      <w:pPr>
        <w:keepNext/>
      </w:pPr>
      <w:r>
        <w:rPr>
          <w:b/>
        </w:rPr>
        <w:t xml:space="preserve">Release and ownership  </w:t>
      </w:r>
      <w:r>
        <w:t>P0 review and P1 signed patient guidance | Clinical workflow engineer and clinical lead</w:t>
      </w:r>
    </w:p>
    <w:p>
      <w:r>
        <w:rPr>
          <w:b/>
        </w:rPr>
        <w:t xml:space="preserve">User outcome and end to end behaviour  </w:t>
      </w:r>
      <w:r>
        <w:t>Flagged, sampled or assigned assessments enter an authorized clinician queue. The reviewer sees the exact case snapshot, evidence, urgency and AI result, then accepts, corrects, escalates or requests more information with a reason. Signed guidance is a separate attributable record, and patients see its review status when sharing is enabled.</w:t>
      </w:r>
    </w:p>
    <w:p>
      <w:r>
        <w:rPr>
          <w:b/>
        </w:rPr>
        <w:t xml:space="preserve">Exceptions and recovery  </w:t>
      </w:r>
      <w:r>
        <w:t>Review is not an emergency response service unless a staffed, contracted pathway defines it. Two reviewers cannot silently overwrite each other. An urgency downgrade requires a clinical reason and preserves the earlier warning. Overdue reviews raise operational alerts and do not leave patients expecting unpromised care.</w:t>
      </w:r>
    </w:p>
    <w:p>
      <w:r>
        <w:rPr>
          <w:b/>
        </w:rPr>
        <w:t xml:space="preserve">Technology and implementation  </w:t>
      </w:r>
      <w:r>
        <w:t>Next.js staff workspace, NestJS assignment service, PostgreSQL optimistic locking and signed decision records. Use least-privilege case grants, review queues and review SLA monitoring.</w:t>
      </w:r>
    </w:p>
    <w:p>
      <w:r>
        <w:rPr>
          <w:b/>
        </w:rPr>
        <w:t xml:space="preserve">Records and dependencies  </w:t>
      </w:r>
      <w:r>
        <w:t>ReviewTask, Assignment, ClinicalDecision and Signature. Dependencies: F01, F09, F11, F14 and F25.</w:t>
      </w:r>
    </w:p>
    <w:p>
      <w:pPr>
        <w:pStyle w:val="Heading3"/>
      </w:pPr>
      <w:r>
        <w:t>Acceptance criteria</w:t>
      </w:r>
    </w:p>
    <w:p>
      <w:pPr>
        <w:pStyle w:val="ListBullet"/>
      </w:pPr>
      <w:r>
        <w:t>F22 AC01  Only clinicians authorized for a case can open its content or sign guidance.</w:t>
      </w:r>
    </w:p>
    <w:p>
      <w:pPr>
        <w:pStyle w:val="ListBullet"/>
      </w:pPr>
      <w:r>
        <w:t>F22 AC02  Each review decision records actor, timestamp, reason and input assessment version.</w:t>
      </w:r>
    </w:p>
    <w:p>
      <w:pPr>
        <w:pStyle w:val="ListBullet"/>
      </w:pPr>
      <w:r>
        <w:t>F22 AC03  Conflicting edits return a conflict instead of replacing another clinician decision.</w:t>
      </w:r>
    </w:p>
    <w:p>
      <w:pPr>
        <w:pStyle w:val="ListBullet"/>
      </w:pPr>
      <w:r>
        <w:t>F22 AC04  Patient displays distinguish unreviewed AI findings, reviewed findings and signed clinician instructions.</w:t>
      </w:r>
    </w:p>
    <w:p>
      <w:r>
        <w:rPr>
          <w:b/>
        </w:rPr>
        <w:t xml:space="preserve">Definition of done  </w:t>
      </w:r>
      <w:r>
        <w:t>Clinical operations approves staffing, assignment, review SLA and escalation policy. Permission, conflict, review-status and correction-notification tests pass. Shared DoD in Section 10 also applies.</w:t>
      </w:r>
    </w:p>
    <w:p>
      <w:pPr>
        <w:pStyle w:val="Heading2"/>
      </w:pPr>
      <w:r>
        <w:t>F23 Clinical knowledge questions and rule publishing</w:t>
      </w:r>
    </w:p>
    <w:p>
      <w:pPr>
        <w:keepNext/>
      </w:pPr>
      <w:r>
        <w:rPr>
          <w:b/>
        </w:rPr>
        <w:t xml:space="preserve">Release and ownership  </w:t>
      </w:r>
      <w:r>
        <w:t>P0 | Knowledge engineer and clinical governance lead</w:t>
      </w:r>
    </w:p>
    <w:p>
      <w:r>
        <w:rPr>
          <w:b/>
        </w:rPr>
        <w:t xml:space="preserve">User outcome and end to end behaviour  </w:t>
      </w:r>
      <w:r>
        <w:t>Editors upload licensed guidance, define scope and question graphs, and draft clinical rules with region, population and review dates. A different clinical approver reviews the change. The bundle runs a frozen evaluation suite, is staged and then promoted with signed release evidence. Historical versions remain reproducible.</w:t>
      </w:r>
    </w:p>
    <w:p>
      <w:r>
        <w:rPr>
          <w:b/>
        </w:rPr>
        <w:t xml:space="preserve">Exceptions and recovery  </w:t>
      </w:r>
      <w:r>
        <w:t>An author cannot approve their own change. Expired or revoked sources cannot enter new bundles. A rollback selects the last validated compatible bundle. Tenant customization is limited to approved fields; patient safety rules cannot be disabled through ordinary tenant settings.</w:t>
      </w:r>
    </w:p>
    <w:p>
      <w:r>
        <w:rPr>
          <w:b/>
        </w:rPr>
        <w:t xml:space="preserve">Technology and implementation  </w:t>
      </w:r>
      <w:r>
        <w:t>Versioned content registry in PostgreSQL and S3, controlled ingestion and indexing jobs, rule compiler, approval workflow and CI clinical evaluation harness. Bundle IDs include prompts, rules, knowledge, model configuration and schema versions.</w:t>
      </w:r>
    </w:p>
    <w:p>
      <w:r>
        <w:rPr>
          <w:b/>
        </w:rPr>
        <w:t xml:space="preserve">Records and dependencies  </w:t>
      </w:r>
      <w:r>
        <w:t>ClinicalBundle, KnowledgeDocument, QuestionGraph, RuleDefinition and Approval. Dependencies: F01, F11, F25 and clinical ownership.</w:t>
      </w:r>
    </w:p>
    <w:p>
      <w:pPr>
        <w:pStyle w:val="Heading3"/>
      </w:pPr>
      <w:r>
        <w:t>Acceptance criteria</w:t>
      </w:r>
    </w:p>
    <w:p>
      <w:pPr>
        <w:pStyle w:val="ListBullet"/>
      </w:pPr>
      <w:r>
        <w:t>F23 AC01  Self-approval is rejected server-side and recorded in the audit trail.</w:t>
      </w:r>
    </w:p>
    <w:p>
      <w:pPr>
        <w:pStyle w:val="ListBullet"/>
      </w:pPr>
      <w:r>
        <w:t>F23 AC02  A failed mandatory evaluation prevents bundle promotion.</w:t>
      </w:r>
    </w:p>
    <w:p>
      <w:pPr>
        <w:pStyle w:val="ListBullet"/>
      </w:pPr>
      <w:r>
        <w:t>F23 AC03  Every assessment can resolve its exact historical bundle and permitted evidence.</w:t>
      </w:r>
    </w:p>
    <w:p>
      <w:pPr>
        <w:pStyle w:val="ListBullet"/>
      </w:pPr>
      <w:r>
        <w:t>F23 AC04  Rollback restores the tested bundle without applying a new schema to incompatible old cases.</w:t>
      </w:r>
    </w:p>
    <w:p>
      <w:r>
        <w:rPr>
          <w:b/>
        </w:rPr>
        <w:t xml:space="preserve">Definition of done  </w:t>
      </w:r>
      <w:r>
        <w:t>Clinical approvers sign the initial bundle. Licensing, review dates, four-eyes approval, promotion, rollback and reproducibility tests pass. Shared DoD in Section 10 also applies.</w:t>
      </w:r>
    </w:p>
    <w:p>
      <w:pPr>
        <w:pStyle w:val="Heading2"/>
      </w:pPr>
      <w:r>
        <w:t>F24 Tenant administration branding and entitlements</w:t>
      </w:r>
    </w:p>
    <w:p>
      <w:pPr>
        <w:keepNext/>
      </w:pPr>
      <w:r>
        <w:rPr>
          <w:b/>
        </w:rPr>
        <w:t xml:space="preserve">Release and ownership  </w:t>
      </w:r>
      <w:r>
        <w:t>P0 | Platform engineer and enterprise product owner</w:t>
      </w:r>
    </w:p>
    <w:p>
      <w:r>
        <w:rPr>
          <w:b/>
        </w:rPr>
        <w:t xml:space="preserve">User outcome and end to end behaviour  </w:t>
      </w:r>
      <w:r>
        <w:t>Platform operators provision a tenant with region, domain, identity settings, clinical bundle, permitted capabilities and retention policy. Tenant administrators manage staff, branding and operational preferences within approved bounds. Capability flags control P0, P1 and P2 functions through both UI and APIs.</w:t>
      </w:r>
    </w:p>
    <w:p>
      <w:r>
        <w:rPr>
          <w:b/>
        </w:rPr>
        <w:t xml:space="preserve">Exceptions and recovery  </w:t>
      </w:r>
      <w:r>
        <w:t>Domain verification is required before activation. Invalid branding contrast is rejected. An administrator cannot enable unvalidated medicine guidance, bypass clinical controls, change hosting region through a simple toggle or receive broad patient access automatically. Offboarding enters a controlled retention/export workflow.</w:t>
      </w:r>
    </w:p>
    <w:p>
      <w:r>
        <w:rPr>
          <w:b/>
        </w:rPr>
        <w:t xml:space="preserve">Technology and implementation  </w:t>
      </w:r>
      <w:r>
        <w:t>NestJS tenant service, PostgreSQL tenant configuration, shared theme tokens, feature entitlements and Terraform deployment configuration. DNS validation and federation configuration use approved administrative procedures.</w:t>
      </w:r>
    </w:p>
    <w:p>
      <w:r>
        <w:rPr>
          <w:b/>
        </w:rPr>
        <w:t xml:space="preserve">Records and dependencies  </w:t>
      </w:r>
      <w:r>
        <w:t>Tenant, ThemeVersion, Entitlement, Membership and TenantLifecycle. Dependencies: F01, F23, F25 and F26.</w:t>
      </w:r>
    </w:p>
    <w:p>
      <w:pPr>
        <w:pStyle w:val="Heading3"/>
      </w:pPr>
      <w:r>
        <w:t>Acceptance criteria</w:t>
      </w:r>
    </w:p>
    <w:p>
      <w:pPr>
        <w:pStyle w:val="ListBullet"/>
      </w:pPr>
      <w:r>
        <w:t>F24 AC01  A disabled capability cannot be used through a direct endpoint even if its UI is bypassed.</w:t>
      </w:r>
    </w:p>
    <w:p>
      <w:pPr>
        <w:pStyle w:val="ListBullet"/>
      </w:pPr>
      <w:r>
        <w:t>F24 AC02  A new tenant cannot activate before domain, identity, region and clinical bundle validation passes.</w:t>
      </w:r>
    </w:p>
    <w:p>
      <w:pPr>
        <w:pStyle w:val="ListBullet"/>
      </w:pPr>
      <w:r>
        <w:t>F24 AC03  Tenant administrator status alone does not grant patient record access.</w:t>
      </w:r>
    </w:p>
    <w:p>
      <w:pPr>
        <w:pStyle w:val="ListBullet"/>
      </w:pPr>
      <w:r>
        <w:t>F24 AC04  Theme changes preserve status meaning and pass token contrast checks before publication.</w:t>
      </w:r>
    </w:p>
    <w:p>
      <w:r>
        <w:rPr>
          <w:b/>
        </w:rPr>
        <w:t xml:space="preserve">Definition of done  </w:t>
      </w:r>
      <w:r>
        <w:t>Tenant onboarding, offboarding, permissions and theme validation tests pass. Enterprise product and security owners approve the provisioned pilot configuration. Shared DoD in Section 10 also applies.</w:t>
      </w:r>
    </w:p>
    <w:p>
      <w:pPr>
        <w:pStyle w:val="Heading2"/>
      </w:pPr>
      <w:r>
        <w:t>F25 Audit trails security access and privileged support</w:t>
      </w:r>
    </w:p>
    <w:p>
      <w:pPr>
        <w:keepNext/>
      </w:pPr>
      <w:r>
        <w:rPr>
          <w:b/>
        </w:rPr>
        <w:t xml:space="preserve">Release and ownership  </w:t>
      </w:r>
      <w:r>
        <w:t>P0 | Security and platform engineers</w:t>
      </w:r>
    </w:p>
    <w:p>
      <w:r>
        <w:rPr>
          <w:b/>
        </w:rPr>
        <w:t xml:space="preserve">User outcome and end to end behaviour  </w:t>
      </w:r>
      <w:r>
        <w:t>Sensitive record reads, writes, exports, shares, clinical changes, role changes and integration actions produce attributable audit events. Authorized auditors search within their permitted scope. Support access requires an explicit purpose, approval where policy demands it, narrow resources, expiry and traceable activity.</w:t>
      </w:r>
    </w:p>
    <w:p>
      <w:r>
        <w:rPr>
          <w:b/>
        </w:rPr>
        <w:t xml:space="preserve">Exceptions and recovery  </w:t>
      </w:r>
      <w:r>
        <w:t>Operational logs omit patient content. Staff cannot erase audit records or export unrelated tenant events. If a critical audit write fails, sensitive state-changing operations fail closed or use an approved durable spool. Break-glass access is limited to the documented operational need and reviewed afterward.</w:t>
      </w:r>
    </w:p>
    <w:p>
      <w:r>
        <w:rPr>
          <w:b/>
        </w:rPr>
        <w:t xml:space="preserve">Technology and implementation  </w:t>
      </w:r>
      <w:r>
        <w:t>Transactional PostgreSQL audit/outbox, immutable S3 archive with approved Object Lock retention, KMS, CloudTrail for infrastructure and scoped auditor APIs. Separate operational telemetry from clinical audit content.</w:t>
      </w:r>
    </w:p>
    <w:p>
      <w:r>
        <w:rPr>
          <w:b/>
        </w:rPr>
        <w:t xml:space="preserve">Records and dependencies  </w:t>
      </w:r>
      <w:r>
        <w:t>AuditEvent, AccessGrant, SupportSession and ArchiveBatch. Dependencies: F01, F24 and approved audit retention policy.</w:t>
      </w:r>
    </w:p>
    <w:p>
      <w:pPr>
        <w:pStyle w:val="Heading3"/>
      </w:pPr>
      <w:r>
        <w:t>Acceptance criteria</w:t>
      </w:r>
    </w:p>
    <w:p>
      <w:pPr>
        <w:pStyle w:val="ListBullet"/>
      </w:pPr>
      <w:r>
        <w:t>F25 AC01  Every protected read and sensitive mutation records actor, tenant, resource, purpose and time without full clinical payload.</w:t>
      </w:r>
    </w:p>
    <w:p>
      <w:pPr>
        <w:pStyle w:val="ListBullet"/>
      </w:pPr>
      <w:r>
        <w:t>F25 AC02  Audit export permissions cannot reveal another tenant or unauthorized patient content.</w:t>
      </w:r>
    </w:p>
    <w:p>
      <w:pPr>
        <w:pStyle w:val="ListBullet"/>
      </w:pPr>
      <w:r>
        <w:t>F25 AC03  Expired privileged access is denied on the next protected request.</w:t>
      </w:r>
    </w:p>
    <w:p>
      <w:pPr>
        <w:pStyle w:val="ListBullet"/>
      </w:pPr>
      <w:r>
        <w:t>F25 AC04  Tampering and deletion attempts are blocked or detectable according to the approved archive design.</w:t>
      </w:r>
    </w:p>
    <w:p>
      <w:r>
        <w:rPr>
          <w:b/>
        </w:rPr>
        <w:t xml:space="preserve">Definition of done  </w:t>
      </w:r>
      <w:r>
        <w:t>Audit coverage map, privileged-access procedure, integrity verification and security tests are approved. Restoration and archive-access exercises pass. Shared DoD in Section 10 also applies.</w:t>
      </w:r>
    </w:p>
    <w:p>
      <w:pPr>
        <w:pStyle w:val="Heading2"/>
      </w:pPr>
      <w:r>
        <w:t>F26 Privacy requests retention and data deletion</w:t>
      </w:r>
    </w:p>
    <w:p>
      <w:pPr>
        <w:keepNext/>
      </w:pPr>
      <w:r>
        <w:rPr>
          <w:b/>
        </w:rPr>
        <w:t xml:space="preserve">Release and ownership  </w:t>
      </w:r>
      <w:r>
        <w:t>P0 | Privacy lead and platform engineer</w:t>
      </w:r>
    </w:p>
    <w:p>
      <w:r>
        <w:rPr>
          <w:b/>
        </w:rPr>
        <w:t xml:space="preserve">User outcome and end to end behaviour  </w:t>
      </w:r>
      <w:r>
        <w:t>Patients request an export, correction or deletion through privacy settings. Nora authenticates the request, explains any applicable retention limits, tracks its status and processes eligible records, files, temporary data, retrieval indexes and derived artifacts. Tenant offboarding follows the same governed data inventory.</w:t>
      </w:r>
    </w:p>
    <w:p>
      <w:r>
        <w:rPr>
          <w:b/>
        </w:rPr>
        <w:t xml:space="preserve">Exceptions and recovery  </w:t>
      </w:r>
      <w:r>
        <w:t>Legal holds and required clinical records prevent indiscriminate deletion. Consent withdrawal is separate from record deletion. Shared downloaded copies cannot be recalled. Backup expiry and any temporarily retained records are disclosed under the approved schedule; restoration must reapply deletion tombstones.</w:t>
      </w:r>
    </w:p>
    <w:p>
      <w:r>
        <w:rPr>
          <w:b/>
        </w:rPr>
        <w:t xml:space="preserve">Technology and implementation  </w:t>
      </w:r>
      <w:r>
        <w:t>NestJS privacy workflow, PostgreSQL request ledger and tombstones, S3 lifecycle policies, index deletion jobs and encrypted export packages. Retention is configured by data class and purpose, not a single global duration.</w:t>
      </w:r>
    </w:p>
    <w:p>
      <w:r>
        <w:rPr>
          <w:b/>
        </w:rPr>
        <w:t xml:space="preserve">Records and dependencies  </w:t>
      </w:r>
      <w:r>
        <w:t>PrivacyRequest, RetentionPolicy, LegalHold, DeletionTombstone and ExportArtifact. Dependencies: F02, F24, F25 and jurisdiction-specific policy.</w:t>
      </w:r>
    </w:p>
    <w:p>
      <w:pPr>
        <w:pStyle w:val="Heading3"/>
      </w:pPr>
      <w:r>
        <w:t>Acceptance criteria</w:t>
      </w:r>
    </w:p>
    <w:p>
      <w:pPr>
        <w:pStyle w:val="ListBullet"/>
      </w:pPr>
      <w:r>
        <w:t>F26 AC01  The export contains only the authenticated subject records allowed by policy.</w:t>
      </w:r>
    </w:p>
    <w:p>
      <w:pPr>
        <w:pStyle w:val="ListBullet"/>
      </w:pPr>
      <w:r>
        <w:t>F26 AC02  Eligible deletion removes primary and derived online data and records job evidence.</w:t>
      </w:r>
    </w:p>
    <w:p>
      <w:pPr>
        <w:pStyle w:val="ListBullet"/>
      </w:pPr>
      <w:r>
        <w:t>F26 AC03  A legal hold blocks affected deletion with an authorized explanation and review path.</w:t>
      </w:r>
    </w:p>
    <w:p>
      <w:pPr>
        <w:pStyle w:val="ListBullet"/>
      </w:pPr>
      <w:r>
        <w:t>F26 AC04  A restored backup cannot reactivate a previously deleted account or expose tombstoned records.</w:t>
      </w:r>
    </w:p>
    <w:p>
      <w:r>
        <w:rPr>
          <w:b/>
        </w:rPr>
        <w:t xml:space="preserve">Definition of done  </w:t>
      </w:r>
      <w:r>
        <w:t>Privacy lead approves the data inventory, retention schedule and request SLA. End-to-end deletion, export, legal-hold and restore tests pass. Shared DoD in Section 10 also applies.</w:t>
      </w:r>
    </w:p>
    <w:p>
      <w:pPr>
        <w:pStyle w:val="Heading2"/>
      </w:pPr>
      <w:r>
        <w:t>F27 Enterprise integrations and clinical record exchange</w:t>
      </w:r>
    </w:p>
    <w:p>
      <w:pPr>
        <w:keepNext/>
      </w:pPr>
      <w:r>
        <w:rPr>
          <w:b/>
        </w:rPr>
        <w:t xml:space="preserve">Release and ownership  </w:t>
      </w:r>
      <w:r>
        <w:t>P2 | Integration engineer and enterprise clinical owner</w:t>
      </w:r>
    </w:p>
    <w:p>
      <w:r>
        <w:rPr>
          <w:b/>
        </w:rPr>
        <w:t xml:space="preserve">User outcome and end to end behaviour  </w:t>
      </w:r>
      <w:r>
        <w:t>An administrator connects an approved clinical record or enterprise system using scoped credentials. Nora maps authorized patient and encounter data into confirmed context and exports signed or clearly labelled summaries where the contract permits. Every operation records source, permission, mapping version and reconciliation state.</w:t>
      </w:r>
    </w:p>
    <w:p>
      <w:r>
        <w:rPr>
          <w:b/>
        </w:rPr>
        <w:t xml:space="preserve">Exceptions and recovery  </w:t>
      </w:r>
      <w:r>
        <w:t>Patient matching ambiguity blocks import or export. A revoked connector stops future processing. Partial failures retain a retryable job and do not duplicate clinical entries. Imported facts preserve their source and cannot silently overwrite patient corrections.</w:t>
      </w:r>
    </w:p>
    <w:p>
      <w:r>
        <w:rPr>
          <w:b/>
        </w:rPr>
        <w:t xml:space="preserve">Technology and implementation  </w:t>
      </w:r>
      <w:r>
        <w:t>Adapter service, Secrets Manager, OAuth scopes, signed webhooks and FHIR R4 where supported by the receiving system [S7]. Use Patient, Encounter, Observation, QuestionnaireResponse, DocumentReference, Consent and Appointment resources as applicable; validate local profiles.</w:t>
      </w:r>
    </w:p>
    <w:p>
      <w:r>
        <w:rPr>
          <w:b/>
        </w:rPr>
        <w:t xml:space="preserve">Records and dependencies  </w:t>
      </w:r>
      <w:r>
        <w:t>IntegrationConnection, ExternalPatientLink, SyncJob and MappingVersion. Dependencies: F01, F02, F14, F25 and receiving-system agreements.</w:t>
      </w:r>
    </w:p>
    <w:p>
      <w:pPr>
        <w:pStyle w:val="Heading3"/>
      </w:pPr>
      <w:r>
        <w:t>Acceptance criteria</w:t>
      </w:r>
    </w:p>
    <w:p>
      <w:pPr>
        <w:pStyle w:val="ListBullet"/>
      </w:pPr>
      <w:r>
        <w:t>F27 AC01  Ambiguous patient matching prevents a write to a clinical record.</w:t>
      </w:r>
    </w:p>
    <w:p>
      <w:pPr>
        <w:pStyle w:val="ListBullet"/>
      </w:pPr>
      <w:r>
        <w:t>F27 AC02  Repeated sync using one external correlation key creates no duplicate target document.</w:t>
      </w:r>
    </w:p>
    <w:p>
      <w:pPr>
        <w:pStyle w:val="ListBullet"/>
      </w:pPr>
      <w:r>
        <w:t>F27 AC03  Imported facts retain provenance and conflicts require explicit reconciliation.</w:t>
      </w:r>
    </w:p>
    <w:p>
      <w:pPr>
        <w:pStyle w:val="ListBullet"/>
      </w:pPr>
      <w:r>
        <w:t>F27 AC04  Revoked integration authorization prevents new jobs and denies in-flight writes where cancellation remains possible.</w:t>
      </w:r>
    </w:p>
    <w:p>
      <w:r>
        <w:rPr>
          <w:b/>
        </w:rPr>
        <w:t xml:space="preserve">Definition of done  </w:t>
      </w:r>
      <w:r>
        <w:t>Partner sandbox certification, local FHIR profile validation, scope review and reconciliation runbook are complete. The clinical owner approves mapping and consent semantics. Shared DoD in Section 10 also applies.</w:t>
      </w:r>
    </w:p>
    <w:p>
      <w:pPr>
        <w:pStyle w:val="Heading2"/>
      </w:pPr>
      <w:r>
        <w:t>F28 Operational analytics quality and enterprise reports</w:t>
      </w:r>
    </w:p>
    <w:p>
      <w:pPr>
        <w:keepNext/>
      </w:pPr>
      <w:r>
        <w:rPr>
          <w:b/>
        </w:rPr>
        <w:t xml:space="preserve">Release and ownership  </w:t>
      </w:r>
      <w:r>
        <w:t>P0 | Analytics engineer and product owner</w:t>
      </w:r>
    </w:p>
    <w:p>
      <w:r>
        <w:rPr>
          <w:b/>
        </w:rPr>
        <w:t xml:space="preserve">User outcome and end to end behaviour  </w:t>
      </w:r>
      <w:r>
        <w:t>Enterprise dashboards show supported assessment starts, completion, handoffs, review latency, provider confirmation rate, failures and safety-review counts. Users filter by permitted tenant and time range. Clinical quality evaluation is reported separately from product engagement metrics.</w:t>
      </w:r>
    </w:p>
    <w:p>
      <w:r>
        <w:rPr>
          <w:b/>
        </w:rPr>
        <w:t xml:space="preserve">Exceptions and recovery  </w:t>
      </w:r>
      <w:r>
        <w:t>Low-count cohorts are suppressed or combined to reduce reidentification. No raw symptoms, transcripts or identifying URLs enter general analytics. Missing or delayed events are labelled. A click on an emergency action is not reported as successful emergency care.</w:t>
      </w:r>
    </w:p>
    <w:p>
      <w:r>
        <w:rPr>
          <w:b/>
        </w:rPr>
        <w:t xml:space="preserve">Technology and implementation  </w:t>
      </w:r>
      <w:r>
        <w:t>Server-side allowlisted events, PostgreSQL aggregate views initially, later an approved warehouse if scale requires it. React dashboard components, role-scoped exports and a metric dictionary with event versioning.</w:t>
      </w:r>
    </w:p>
    <w:p>
      <w:r>
        <w:rPr>
          <w:b/>
        </w:rPr>
        <w:t xml:space="preserve">Records and dependencies  </w:t>
      </w:r>
      <w:r>
        <w:t>MetricDefinition, ProductEvent and AggregateSnapshot. Dependencies: F25 and approved analytics purpose.</w:t>
      </w:r>
    </w:p>
    <w:p>
      <w:pPr>
        <w:pStyle w:val="Heading3"/>
      </w:pPr>
      <w:r>
        <w:t>Acceptance criteria</w:t>
      </w:r>
    </w:p>
    <w:p>
      <w:pPr>
        <w:pStyle w:val="ListBullet"/>
      </w:pPr>
      <w:r>
        <w:t>F28 AC01  Completion uses the documented eligible-start denominator and excludes unsupported routing explicitly.</w:t>
      </w:r>
    </w:p>
    <w:p>
      <w:pPr>
        <w:pStyle w:val="ListBullet"/>
      </w:pPr>
      <w:r>
        <w:t>F28 AC02  Patient identifiers and clinical free text are absent from analytics payloads.</w:t>
      </w:r>
    </w:p>
    <w:p>
      <w:pPr>
        <w:pStyle w:val="ListBullet"/>
      </w:pPr>
      <w:r>
        <w:t>F28 AC03  Tenant reporting cannot query another tenant aggregate or suppressed low-count cohort.</w:t>
      </w:r>
    </w:p>
    <w:p>
      <w:pPr>
        <w:pStyle w:val="ListBullet"/>
      </w:pPr>
      <w:r>
        <w:t>F28 AC04  Dashboard totals reconcile with the transactional event source within the documented freshness window.</w:t>
      </w:r>
    </w:p>
    <w:p>
      <w:r>
        <w:rPr>
          <w:b/>
        </w:rPr>
        <w:t xml:space="preserve">Definition of done  </w:t>
      </w:r>
      <w:r>
        <w:t>Product and privacy owners approve the event schema, metric dictionary and aggregation policy. Reconciliation, access and data-minimization tests pass. Shared DoD in Section 10 also applies.</w:t>
      </w:r>
    </w:p>
    <w:p>
      <w:pPr>
        <w:pStyle w:val="Heading2"/>
      </w:pPr>
      <w:r>
        <w:t>F29 Accessibility language and localization</w:t>
      </w:r>
    </w:p>
    <w:p>
      <w:pPr>
        <w:keepNext/>
      </w:pPr>
      <w:r>
        <w:rPr>
          <w:b/>
        </w:rPr>
        <w:t xml:space="preserve">Release and ownership  </w:t>
      </w:r>
      <w:r>
        <w:t>P0 English and P1 validated languages | Design system lead and localization owner</w:t>
      </w:r>
    </w:p>
    <w:p>
      <w:r>
        <w:rPr>
          <w:b/>
        </w:rPr>
        <w:t xml:space="preserve">User outcome and end to end behaviour  </w:t>
      </w:r>
      <w:r>
        <w:t>All user journeys work with keyboard, screen readers and text alternatives. At P1, users select a validated language; interface copy, clinical guidance, question labels, date and time formats and notifications follow that locale. Clinical meaning remains equivalent across supported languages.</w:t>
      </w:r>
    </w:p>
    <w:p>
      <w:r>
        <w:rPr>
          <w:b/>
        </w:rPr>
        <w:t xml:space="preserve">Exceptions and recovery  </w:t>
      </w:r>
      <w:r>
        <w:t>An unsupported language shows an approved language-selection and care route rather than unvalidated live translation. Mixed-language symptom input is handled only within evaluated scope. RTL support is enabled only after complete layout and clinical copy checks. Accessibility preferences do not alter clinical logic.</w:t>
      </w:r>
    </w:p>
    <w:p>
      <w:r>
        <w:rPr>
          <w:b/>
        </w:rPr>
        <w:t xml:space="preserve">Technology and implementation  </w:t>
      </w:r>
      <w:r>
        <w:t>Semantic React components, Radix primitives, axe-core, Playwright accessibility journeys, ICU message catalogues and approved locale bundles. Clinical translation is human reviewed; machine translation alone is insufficient for publication.</w:t>
      </w:r>
    </w:p>
    <w:p>
      <w:r>
        <w:rPr>
          <w:b/>
        </w:rPr>
        <w:t xml:space="preserve">Records and dependencies  </w:t>
      </w:r>
      <w:r>
        <w:t>LocalePreference, TranslationVersion and AccessibilityTestRecord. Dependencies: F07, F10, F12, F19 and F23.</w:t>
      </w:r>
    </w:p>
    <w:p>
      <w:pPr>
        <w:pStyle w:val="Heading3"/>
      </w:pPr>
      <w:r>
        <w:t>Acceptance criteria</w:t>
      </w:r>
    </w:p>
    <w:p>
      <w:pPr>
        <w:pStyle w:val="ListBullet"/>
      </w:pPr>
      <w:r>
        <w:t>F29 AC01  Complete patient and clinician journeys meet the agreed WCAG 2.2 AA audit scope.</w:t>
      </w:r>
    </w:p>
    <w:p>
      <w:pPr>
        <w:pStyle w:val="ListBullet"/>
      </w:pPr>
      <w:r>
        <w:t>F29 AC02  At 200 percent zoom and 320 CSS px width, urgency and primary actions remain readable and operable.</w:t>
      </w:r>
    </w:p>
    <w:p>
      <w:pPr>
        <w:pStyle w:val="ListBullet"/>
      </w:pPr>
      <w:r>
        <w:t>F29 AC03  Language selection never substitutes an unapproved clinical translation.</w:t>
      </w:r>
    </w:p>
    <w:p>
      <w:pPr>
        <w:pStyle w:val="ListBullet"/>
      </w:pPr>
      <w:r>
        <w:t>F29 AC04  Screen-reader status updates announce useful transitions without exposing private details or raw generation tokens.</w:t>
      </w:r>
    </w:p>
    <w:p>
      <w:r>
        <w:rPr>
          <w:b/>
        </w:rPr>
        <w:t xml:space="preserve">Definition of done  </w:t>
      </w:r>
      <w:r>
        <w:t>Automated scans, manual keyboard, NVDA and VoiceOver tests pass. Clinical translators approve each enabled language and the evaluation set covers locale-specific inputs. Shared DoD in Section 10 also applies.</w:t>
      </w:r>
    </w:p>
    <w:p>
      <w:pPr>
        <w:pStyle w:val="Heading2"/>
      </w:pPr>
      <w:r>
        <w:t>F30 Reliability monitoring and incident response</w:t>
      </w:r>
    </w:p>
    <w:p>
      <w:pPr>
        <w:keepNext/>
      </w:pPr>
      <w:r>
        <w:rPr>
          <w:b/>
        </w:rPr>
        <w:t xml:space="preserve">Release and ownership  </w:t>
      </w:r>
      <w:r>
        <w:t>P0 | Platform engineer and support lead</w:t>
      </w:r>
    </w:p>
    <w:p>
      <w:r>
        <w:rPr>
          <w:b/>
        </w:rPr>
        <w:t xml:space="preserve">User outcome and end to end behaviour  </w:t>
      </w:r>
      <w:r>
        <w:t>Operators monitor service health, assessment availability, rules availability, provider pending states and job queues. Alerts route to on-call responders with redacted context. Incidents can disable a capability or model bundle, retain cases safely and restore the last validated release.</w:t>
      </w:r>
    </w:p>
    <w:p>
      <w:r>
        <w:rPr>
          <w:b/>
        </w:rPr>
        <w:t xml:space="preserve">Exceptions and recovery  </w:t>
      </w:r>
      <w:r>
        <w:t>A model outage shows unavailable assessment with preserved inputs. Urgency logic stays independent of model inference. Provider outage leaves bookings pending or offers external handoff. Telemetry outages must not erase the clinical audit trail. Clinical incidents invoke the documented patient-correction workflow.</w:t>
      </w:r>
    </w:p>
    <w:p>
      <w:r>
        <w:rPr>
          <w:b/>
        </w:rPr>
        <w:t xml:space="preserve">Technology and implementation  </w:t>
      </w:r>
      <w:r>
        <w:t>OpenTelemetry, CloudWatch dashboards and alerts, health endpoints, ECS deployment rollback, regional backups, managed secrets and tested feature kill switches. Synthetic tests use fictitious records; logs and traces use allowlisted metadata.</w:t>
      </w:r>
    </w:p>
    <w:p>
      <w:r>
        <w:rPr>
          <w:b/>
        </w:rPr>
        <w:t xml:space="preserve">Records and dependencies  </w:t>
      </w:r>
      <w:r>
        <w:t>Incident, HealthProbe, Alert, DeploymentVersion and Runbook. Dependencies: F08, F18, F23 and F25.</w:t>
      </w:r>
    </w:p>
    <w:p>
      <w:pPr>
        <w:pStyle w:val="Heading3"/>
      </w:pPr>
      <w:r>
        <w:t>Acceptance criteria</w:t>
      </w:r>
    </w:p>
    <w:p>
      <w:pPr>
        <w:pStyle w:val="ListBullet"/>
      </w:pPr>
      <w:r>
        <w:t>F30 AC01  Simulated model failure cannot generate a reassuring completed assessment.</w:t>
      </w:r>
    </w:p>
    <w:p>
      <w:pPr>
        <w:pStyle w:val="ListBullet"/>
      </w:pPr>
      <w:r>
        <w:t>F30 AC02  An operator can disable a failing capability within five minutes using the approved procedure.</w:t>
      </w:r>
    </w:p>
    <w:p>
      <w:pPr>
        <w:pStyle w:val="ListBullet"/>
      </w:pPr>
      <w:r>
        <w:t>F30 AC03  Alerts contain correlation IDs and service metadata but no patient transcript or report content.</w:t>
      </w:r>
    </w:p>
    <w:p>
      <w:pPr>
        <w:pStyle w:val="ListBullet"/>
      </w:pPr>
      <w:r>
        <w:t>F30 AC04  Backup restoration meets the approved RPO and RTO in a measured exercise.</w:t>
      </w:r>
    </w:p>
    <w:p>
      <w:r>
        <w:rPr>
          <w:b/>
        </w:rPr>
        <w:t xml:space="preserve">Definition of done  </w:t>
      </w:r>
      <w:r>
        <w:t>On-call ownership, runbooks, monitoring coverage and incident severity definitions are approved. Failure drills, backup restore and clinical correction exercises pass. Shared DoD in Section 10 also applies.</w:t>
      </w:r>
    </w:p>
    <w:p>
      <w:pPr>
        <w:pStyle w:val="Heading2"/>
      </w:pPr>
      <w:r>
        <w:t>F31 Optional payment collection and reconciliation</w:t>
      </w:r>
    </w:p>
    <w:p>
      <w:pPr>
        <w:keepNext/>
      </w:pPr>
      <w:r>
        <w:rPr>
          <w:b/>
        </w:rPr>
        <w:t xml:space="preserve">Release and ownership  </w:t>
      </w:r>
      <w:r>
        <w:t>P2 optional | Payments engineer and finance operations</w:t>
      </w:r>
    </w:p>
    <w:p>
      <w:r>
        <w:rPr>
          <w:b/>
        </w:rPr>
        <w:t xml:space="preserve">User outcome and end to end behaviour  </w:t>
      </w:r>
      <w:r>
        <w:t>Where the enterprise requires prepaid appointments, the patient sees an itemized fee and cancellation terms, opens the approved hosted checkout, and returns to a pending booking. Nora reconciles payment and provider booking, then confirms both or starts the documented refund process.</w:t>
      </w:r>
    </w:p>
    <w:p>
      <w:r>
        <w:rPr>
          <w:b/>
        </w:rPr>
        <w:t xml:space="preserve">Exceptions and recovery  </w:t>
      </w:r>
      <w:r>
        <w:t>Payment success alone cannot confirm care. A provider booking failure after payment triggers a refund or a clearly authorized alternative. Duplicate webhooks are idempotent. Card data never enters Nora APIs, logs or storage.</w:t>
      </w:r>
    </w:p>
    <w:p>
      <w:r>
        <w:rPr>
          <w:b/>
        </w:rPr>
        <w:t xml:space="preserve">Technology and implementation  </w:t>
      </w:r>
      <w:r>
        <w:t>Region-approved hosted payment gateway, NestJS payment adapter, signed webhooks, PostgreSQL payment/booking ledger and BullMQ reconciliation. Gateway choice requires contract, currency, residency and PCI scope review.</w:t>
      </w:r>
    </w:p>
    <w:p>
      <w:r>
        <w:rPr>
          <w:b/>
        </w:rPr>
        <w:t xml:space="preserve">Records and dependencies  </w:t>
      </w:r>
      <w:r>
        <w:t>PaymentIntent, PaymentEvent, Refund and ReconciliationEntry. Dependencies: F18, F25, provider fee policies and gateway agreement.</w:t>
      </w:r>
    </w:p>
    <w:p>
      <w:pPr>
        <w:pStyle w:val="Heading3"/>
      </w:pPr>
      <w:r>
        <w:t>Acceptance criteria</w:t>
      </w:r>
    </w:p>
    <w:p>
      <w:pPr>
        <w:pStyle w:val="ListBullet"/>
      </w:pPr>
      <w:r>
        <w:t>F31 AC01  Confirmation requires provider acknowledgement and the payment state required by the contract.</w:t>
      </w:r>
    </w:p>
    <w:p>
      <w:pPr>
        <w:pStyle w:val="ListBullet"/>
      </w:pPr>
      <w:r>
        <w:t>F31 AC02  Duplicate payment events cannot double-charge or double-refund.</w:t>
      </w:r>
    </w:p>
    <w:p>
      <w:pPr>
        <w:pStyle w:val="ListBullet"/>
      </w:pPr>
      <w:r>
        <w:t>F31 AC03  Paid but unbooked cases are visible to finance and resolved by the signed SLA.</w:t>
      </w:r>
    </w:p>
    <w:p>
      <w:pPr>
        <w:pStyle w:val="ListBullet"/>
      </w:pPr>
      <w:r>
        <w:t>F31 AC04  No raw card number, security code or payment credential is stored by Nora.</w:t>
      </w:r>
    </w:p>
    <w:p>
      <w:r>
        <w:rPr>
          <w:b/>
        </w:rPr>
        <w:t xml:space="preserve">Definition of done  </w:t>
      </w:r>
      <w:r>
        <w:t>Finance approves reconciliation, refunds and cancellation rules. Gateway sandbox, signature, duplicate-event and paid-unbooked tests pass; PCI responsibility is documented. Shared DoD in Section 10 also applies.</w:t>
      </w:r>
    </w:p>
    <w:p>
      <w:pPr>
        <w:pStyle w:val="Heading2"/>
      </w:pPr>
      <w:r>
        <w:t>F32 Optional caregiver delegated access</w:t>
      </w:r>
    </w:p>
    <w:p>
      <w:pPr>
        <w:keepNext/>
      </w:pPr>
      <w:r>
        <w:rPr>
          <w:b/>
        </w:rPr>
        <w:t xml:space="preserve">Release and ownership  </w:t>
      </w:r>
      <w:r>
        <w:t>P2 optional | Identity engineer and privacy lead</w:t>
      </w:r>
    </w:p>
    <w:p>
      <w:r>
        <w:rPr>
          <w:b/>
        </w:rPr>
        <w:t xml:space="preserve">User outcome and end to end behaviour  </w:t>
      </w:r>
      <w:r>
        <w:t>An eligible patient grants a verified caregiver limited access for specified records and actions with an expiry. The caregiver switches into a clearly labelled delegated view. Every answer and booking indicates the acting person. Legal guardianship and pediatric pathways require separate approved identity and clinical policies.</w:t>
      </w:r>
    </w:p>
    <w:p>
      <w:r>
        <w:rPr>
          <w:b/>
        </w:rPr>
        <w:t xml:space="preserve">Exceptions and recovery  </w:t>
      </w:r>
      <w:r>
        <w:t>Delegation cannot be inferred from shared surname, email or device. Revocation denies future access. Sensitive fields can have stricter restrictions. A caregiver cannot transfer their grant, alter consent outside the approved authority or impersonate the patient in the transcript.</w:t>
      </w:r>
    </w:p>
    <w:p>
      <w:r>
        <w:rPr>
          <w:b/>
        </w:rPr>
        <w:t xml:space="preserve">Technology and implementation  </w:t>
      </w:r>
      <w:r>
        <w:t>Server-side DelegationGrant policy, Cognito identity, NestJS actor/subject separation and PostgreSQL scoped authorization. Separate the patient subject ID from the authenticated actor in every API and audit event.</w:t>
      </w:r>
    </w:p>
    <w:p>
      <w:r>
        <w:rPr>
          <w:b/>
        </w:rPr>
        <w:t xml:space="preserve">Records and dependencies  </w:t>
      </w:r>
      <w:r>
        <w:t>DelegationGrant, AuthorityEvidence and DelegatedAction. Dependencies: F01, F02, F25, F26 and legal authority policy.</w:t>
      </w:r>
    </w:p>
    <w:p>
      <w:pPr>
        <w:pStyle w:val="Heading3"/>
      </w:pPr>
      <w:r>
        <w:t>Acceptance criteria</w:t>
      </w:r>
    </w:p>
    <w:p>
      <w:pPr>
        <w:pStyle w:val="ListBullet"/>
      </w:pPr>
      <w:r>
        <w:t>F32 AC01  Every delegated action records actor, patient subject, grant and permitted purpose.</w:t>
      </w:r>
    </w:p>
    <w:p>
      <w:pPr>
        <w:pStyle w:val="ListBullet"/>
      </w:pPr>
      <w:r>
        <w:t>F32 AC02  Requests outside the granted resources or actions are denied server-side.</w:t>
      </w:r>
    </w:p>
    <w:p>
      <w:pPr>
        <w:pStyle w:val="ListBullet"/>
      </w:pPr>
      <w:r>
        <w:t>F32 AC03  Revoked or expired grants deny new access within 60 seconds.</w:t>
      </w:r>
    </w:p>
    <w:p>
      <w:pPr>
        <w:pStyle w:val="ListBullet"/>
      </w:pPr>
      <w:r>
        <w:t>F32 AC04  Caregiver-authored answers remain attributable and require confirmation according to the approved pathway.</w:t>
      </w:r>
    </w:p>
    <w:p>
      <w:r>
        <w:rPr>
          <w:b/>
        </w:rPr>
        <w:t xml:space="preserve">Definition of done  </w:t>
      </w:r>
      <w:r>
        <w:t>Privacy and legal owners approve eligible delegation types, authority checks and revocation. Actor/subject confusion, privilege escalation and shared-device tests pass. Shared DoD in Section 10 also applies.</w:t>
      </w:r>
    </w:p>
    <w:p>
      <w:pPr>
        <w:pStyle w:val="Heading1"/>
      </w:pPr>
      <w:r>
        <w:t>7 Data model and API contracts</w:t>
      </w:r>
    </w:p>
    <w:p>
      <w:pPr>
        <w:pStyle w:val="Heading2"/>
      </w:pPr>
      <w:r>
        <w:t>7 1 Core data relationships</w:t>
      </w:r>
    </w:p>
    <w:p>
      <w:r>
        <w:t>A Tenant has Memberships, configuration and approved ClinicalBundles. A Patient belongs to the authorized tenant relationship and has versioned profiles and consent records. Each AssessmentSession contains messages, answers, confirmed facts, reports and immutable AssessmentResults. A result references the exact input snapshot and bundle. CarePlans and Reviews reference results. Referrals and Appointments link to verified providers. SharingGrant and DelegationGrant represent different authorities and must not be merged.</w:t>
      </w:r>
    </w:p>
    <w:tbl>
      <w:tblPr>
        <w:tblW w:type="auto" w:w="0"/>
        <w:jc w:val="center"/>
        <w:tblLayout w:type="fixed"/>
        <w:tblLook w:firstColumn="1" w:firstRow="1" w:lastColumn="0" w:lastRow="0" w:noHBand="0" w:noVBand="1" w:val="04A0"/>
      </w:tblPr>
      <w:tblGrid>
        <w:gridCol w:w="2088"/>
        <w:gridCol w:w="7848"/>
      </w:tblGrid>
      <w:tr>
        <w:trPr>
          <w:cantSplit/>
          <w:tblHeader/>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Entity group</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Required fields and constraints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Tenant and membership</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UUID IDs, region, lifecycle, domain verification, role, entitlement version; unique membership per tenant and user</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Profile and consent</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Patient subject, source, profile version, purpose, notice version, accepted/withdrawn time, actor; append-only consent history</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Session and message</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Patient, tenant, status, current input version, created/updated UTC, idempotency key; message sender and provenance</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Answer and fact</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Stable question ID, value, units where relevant, present/absent/unknown/declined/not-asked state, source and confirmation</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Assessment result</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Result ID, input snapshot hash, schema version, model/prompt/rules/knowledge versions, urgency, scope, explanations, uncertainty and evidence</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Report and extraction</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Object key, MIME, scan status, patient match, original text, page, bounding box, extracted value/unit and confirmation</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Provider and appointment</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Verified provider/clinic IDs, specialty, booking method, UTC slot plus IANA zone, provider confirmation, state and version</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Review and note</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Assigned clinician, result version, decision, reason, signer, signed time; immutable prior versions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Audit and privacy</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Actor/subject distinction, purpose, resource, tenant, action, correlation ID, retention class, legal hold and deletion state</w:t>
            </w:r>
          </w:p>
        </w:tc>
      </w:tr>
    </w:tbl>
    <w:p/>
    <w:p>
      <w:pPr>
        <w:pStyle w:val="Heading2"/>
      </w:pPr>
      <w:r>
        <w:t>7 2 Storage invariants</w:t>
      </w:r>
    </w:p>
    <w:p>
      <w:pPr>
        <w:pStyle w:val="ListBullet"/>
      </w:pPr>
      <w:r>
        <w:t>All sensitive rows carry tenant scope and patient scope where appropriate. Authorization must apply to files, jobs, retrieval queries and exports as well as database reads.</w:t>
      </w:r>
    </w:p>
    <w:p>
      <w:pPr>
        <w:pStyle w:val="ListBullet"/>
      </w:pPr>
      <w:r>
        <w:t>Use database foreign keys and unique constraints for membership, provider references, idempotency and webhook deduplication. Prisma application filters complement, rather than replace, database isolation controls.</w:t>
      </w:r>
    </w:p>
    <w:p>
      <w:pPr>
        <w:pStyle w:val="ListBullet"/>
      </w:pPr>
      <w:r>
        <w:t>All times are stored in UTC; appointments preserve IANA time zone and user display locale. Record measurement units explicitly and retain the original unit even after a reviewed conversion.</w:t>
      </w:r>
    </w:p>
    <w:p>
      <w:pPr>
        <w:pStyle w:val="ListBullet"/>
      </w:pPr>
      <w:r>
        <w:t>Audit events contain metadata and protected resource references; operational logs contain neither raw messages nor extracted health values. Authorized clinical records retain enough provenance to reconstruct the decision.</w:t>
      </w:r>
    </w:p>
    <w:p>
      <w:pPr>
        <w:pStyle w:val="Heading2"/>
      </w:pPr>
      <w:r>
        <w:t>7 3 Assessment contract</w:t>
      </w:r>
    </w:p>
    <w:p>
      <w:r>
        <w:t>The versioned assessment JSON includes session_id, result_id, input_version, bundle_id, schema_version, status, scope_decision, urgency, possible_explanations, alternatives, missing_information, plain_explanation, clinical_explanation, supporting_facts, care_plan, evidence_links and generated_at. Each explanation states its uncertainty. Each actionable plan item identifies a rule or evidence source. The server rejects unknown fields where they could introduce unsupported instructions.</w:t>
      </w:r>
    </w:p>
    <w:p>
      <w:r>
        <w:t>A completed result is immutable. Changing confirmed facts increments input_version, sets the prior result to superseded and recomputes affected output. The current pointer changes only after validation and persistence. Read APIs expose review status separately from assessment status.</w:t>
      </w:r>
    </w:p>
    <w:p>
      <w:pPr>
        <w:pStyle w:val="Heading2"/>
      </w:pPr>
      <w:r>
        <w:t>7 4 API surface</w:t>
      </w:r>
    </w:p>
    <w:tbl>
      <w:tblPr>
        <w:tblW w:type="auto" w:w="0"/>
        <w:jc w:val="center"/>
        <w:tblLayout w:type="fixed"/>
        <w:tblLook w:firstColumn="1" w:firstRow="1" w:lastColumn="0" w:lastRow="0" w:noHBand="0" w:noVBand="1" w:val="04A0"/>
      </w:tblPr>
      <w:tblGrid>
        <w:gridCol w:w="3744"/>
        <w:gridCol w:w="2232"/>
        <w:gridCol w:w="3960"/>
      </w:tblGrid>
      <w:tr>
        <w:trPr>
          <w:cantSplit/>
          <w:tblHeader/>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Endpoint pattern</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Responsibility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Important contract</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POST /v1/checks</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Create check</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Idempotency-Key and tenant-resolved identity</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GET /v1/checks</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Patient history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Cursor pagination and subject authorization</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POST /v1/checks/{id}/messages</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Persist intake message</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Expected input version; 8000 character maximum</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POST /v1/checks/{id}/answers</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Confirm answer</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Question ID, source, expected version</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GET /v1/checks/{id}/events</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SSE stage events</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Last-Event-ID reconnect; monotonic sequence</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GET /v1/checks/{id}/results</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Read current or historical result</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Result version and review status</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POST /v1/checks/{id}/reports</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Create upload intent</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Allowed type/size; quarantine before use</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POST /v1/reports/{id}/confirm</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Accept extraction facts</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Patient match and original provenance</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GET /v1/providers</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Search verified providers</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Specialty, location, mode, fee and cursor</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POST /v1/appointments</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Request booking</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Idempotency key; live slot revalidation</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POST /v1/appointments/{id}/cancel</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Request cancellation</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Expected state version; provider acknowledgement</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POST /v1/sharing-grants</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Authorize recipient access</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Subject, recipient, resource, purpose and expiry</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POST /v1/reviews/{id}/decisions</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Record clinician decision</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Assignment, reason and exact result version</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POST /v1/admin/bundles/{id}/promote</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Publish clinical bundle</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Separate approver and evaluation evidence</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POST /v1/privacy-requests</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Export or deletion request</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Verified requester and policy version</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POST /v1/integrations/{id}/webhooks</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Provider or record callbacks</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Signature, timestamp and replay protection</w:t>
            </w:r>
          </w:p>
        </w:tc>
      </w:tr>
    </w:tbl>
    <w:p/>
    <w:p>
      <w:r>
        <w:t>All APIs use OpenAPI schemas, traceable request IDs, consistent error envelopes and per-tenant rate limits. Suggested error fields are code, message, correlation_id, retryable and permitted recovery_action. Never include a clinical payload in an error. Use 409 for version conflicts, 422 for validly formed but unprocessable requests, and 429 for throttling. Authorization responses must avoid resource enumeration.</w:t>
      </w:r>
    </w:p>
    <w:p>
      <w:pPr>
        <w:pStyle w:val="Heading2"/>
      </w:pPr>
      <w:r>
        <w:t>7 5 State transitions</w:t>
      </w:r>
    </w:p>
    <w:tbl>
      <w:tblPr>
        <w:tblW w:type="auto" w:w="0"/>
        <w:jc w:val="center"/>
        <w:tblLayout w:type="fixed"/>
        <w:tblLook w:firstColumn="1" w:firstRow="1" w:lastColumn="0" w:lastRow="0" w:noHBand="0" w:noVBand="1" w:val="04A0"/>
      </w:tblPr>
      <w:tblGrid>
        <w:gridCol w:w="1512"/>
        <w:gridCol w:w="5472"/>
        <w:gridCol w:w="2952"/>
      </w:tblGrid>
      <w:tr>
        <w:trPr>
          <w:cantSplit/>
          <w:tblHeader/>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Object</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States</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Guard</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Assessment</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draft, collecting, awaiting_confirmation, assessing, completed, incomplete, escalated, superseded, archived</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Only validated current-input results become completed</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Upload</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created, quarantined, scanning, extracting, awaiting_review, accepted, rejected, deleted</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Only accepted confirmed facts enter assessment</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Appointment</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requested, pending_confirmation, confirmed, cancellation_pending, cancelled, failed, completed, no_show</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Provider confirmation required for confirmed; attendance requires provider or staff evidence</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Clinical bundle</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draft, review_requested, approved, evaluated, staged, released, retired</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No self-approval; mandatory suite must pass</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Review</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queued, assigned, in_review, clarification_requested, signed, closed</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Version conflicts are explicit; signer must be authorized</w:t>
            </w:r>
          </w:p>
        </w:tc>
      </w:tr>
    </w:tbl>
    <w:p/>
    <w:p>
      <w:pPr>
        <w:pStyle w:val="Heading1"/>
      </w:pPr>
      <w:r>
        <w:t>8 Nonfunctional and security requirements</w:t>
      </w:r>
    </w:p>
    <w:p>
      <w:r>
        <w:t>The following are proposed launch service objectives. They must be verified under the workload below, then included in the enterprise service agreement where appropriate. They do not override clinical fallback rules.</w:t>
      </w:r>
    </w:p>
    <w:tbl>
      <w:tblPr>
        <w:tblW w:type="auto" w:w="0"/>
        <w:jc w:val="center"/>
        <w:tblLayout w:type="fixed"/>
        <w:tblLook w:firstColumn="1" w:firstRow="1" w:lastColumn="0" w:lastRow="0" w:noHBand="0" w:noVBand="1" w:val="04A0"/>
      </w:tblPr>
      <w:tblGrid>
        <w:gridCol w:w="1728"/>
        <w:gridCol w:w="4032"/>
        <w:gridCol w:w="4176"/>
      </w:tblGrid>
      <w:tr>
        <w:trPr>
          <w:cantSplit/>
          <w:tblHeader/>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Requirement</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Target</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Validation and completion evidence</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Availability</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99.9 percent monthly for core authenticated APIs; third-party and model status reported separately</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Synthetic monitoring, error budget and documented maintenance policy</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Interactive UI</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Input feedback below 100 ms; p75 LCP at most 2.5 s and INP at most 200 ms on agreed pilot device/network</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Browser performance traces and field measurements after pilot</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Application API</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p95 at most 500 ms excluding model, extraction and provider dependencies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Load test and per-endpoint monitoring</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Urgency processing</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p95 rule decision at most 1 s after committed confirmed answer</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Direct rule-path timing and failure tests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Assessment completion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p95 at most 30 s after required input is complete, for approved bounded text cases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Timed evaluation under load; timeout fallback at 45 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Report processing</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p95 at most 120 s for a clean supported 10-page report within upload limits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Representative extraction benchmark; explicit partial/failure states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Reference workload</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1000 concurrent authenticated sessions; 100 active assessment generations; 20 answer commits per second</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30-minute k6 run plus agreed burst profile; no isolation or duplicate-write failures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Recovery</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Proposed RPO 15 minutes and RTO 4 hours for primary clinical application data</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Quarterly measured restore exercise and documented scope</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Accessibility</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WCAG 2.2 AA target for complete enabled processes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Automated and manual audit with no unresolved blocker</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Session security</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Patient inactivity timeout 30 minutes; staff 15 minutes; warning and accessible extension where policy permits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Server enforcement and browser recovery tests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Data encryption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TLS 1.2 or higher in transit; approved encryption at rest using KMS-managed keys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Configuration evidence, key access review and rotation procedure</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Dependency safety</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No unresolved critical or high exploitable production vulnerability at release</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SCA, image scans, penetration findings and documented exceptions only when formally accepted</w:t>
            </w:r>
          </w:p>
        </w:tc>
      </w:tr>
    </w:tbl>
    <w:p/>
    <w:p>
      <w:pPr>
        <w:pStyle w:val="Heading2"/>
      </w:pPr>
      <w:r>
        <w:t>8 1 Threat model and access controls</w:t>
      </w:r>
    </w:p>
    <w:p>
      <w:r>
        <w:t>Threat modelling covers cross-tenant access, confused patient/actor identity, staff privilege escalation, report prompt injection, malicious files, fabricated citations, misleading model outputs, leaked summaries, replayed provider callbacks, stolen secrets and administrative misuse. Clinical sources and uploaded reports are data, not instructions. The model cannot authorize an action or retrieve arbitrary tenant records.</w:t>
      </w:r>
    </w:p>
    <w:p>
      <w:pPr>
        <w:pStyle w:val="ListBullet"/>
      </w:pPr>
      <w:r>
        <w:t>Use least-privilege IAM roles, private database endpoints, WAF and tenant-level rate limits. Separate patient, staff, worker and platform operator credentials.</w:t>
      </w:r>
    </w:p>
    <w:p>
      <w:pPr>
        <w:pStyle w:val="ListBullet"/>
      </w:pPr>
      <w:r>
        <w:t>Validate all webhook signatures and timestamp windows. Deduplicate external events and retain replay evidence. Do not trust callback state without matching it to the known provider resource.</w:t>
      </w:r>
    </w:p>
    <w:p>
      <w:pPr>
        <w:pStyle w:val="ListBullet"/>
      </w:pPr>
      <w:r>
        <w:t>Protect consented sharing with explicit resource grants, expiry and server authorization. A signed storage URL alone must not become the long-lived access model.</w:t>
      </w:r>
    </w:p>
    <w:p>
      <w:pPr>
        <w:pStyle w:val="ListBullet"/>
      </w:pPr>
      <w:r>
        <w:t>Maintain separate production, staging and development environments. Use synthetic records outside production unless an approved controlled process authorizes otherwise.</w:t>
      </w:r>
    </w:p>
    <w:p>
      <w:pPr>
        <w:pStyle w:val="Heading2"/>
      </w:pPr>
      <w:r>
        <w:t>8 2 Residency and retention</w:t>
      </w:r>
    </w:p>
    <w:p>
      <w:r>
        <w:t>A signed tenant configuration selects permitted regions for storage, inference, transcription, extraction, notifications, backups and support access. Cross-region replication or inference is disabled unless explicitly authorized. A dedicated deployment is required where shared infrastructure cannot meet the contract. Region constraints are checked in deployment policy and provider configuration.</w:t>
      </w:r>
    </w:p>
    <w:p>
      <w:r>
        <w:t>Default technical retention proposals: voice audio up to 24 hours; rejected/quarantined uploads up to seven days unless an incident hold applies; temporary exports up to 24 hours; operational metadata up to 30 days. Clinical records, consent and audit retention must be defined by the clinical operator and applicable law before launch. These proposals must not override legal holds or mandated records.</w:t>
      </w:r>
    </w:p>
    <w:p>
      <w:pPr>
        <w:pStyle w:val="Heading2"/>
      </w:pPr>
      <w:r>
        <w:t>8 3 Observability and cost control</w:t>
      </w:r>
    </w:p>
    <w:p>
      <w:r>
        <w:t>Measure model calls, tokens, latency, failures and cost per assessment without logging content. Cap model context, follow-up turns, report pages and retries. Tenant budgets can throttle noncritical optional work but must preserve emergency information and authorized access to existing records. Establish a per-assessment budget after measuring the approved model, workload and data pipeline; do not claim a unit cost before benchmarking.</w:t>
      </w:r>
    </w:p>
    <w:p>
      <w:pPr>
        <w:pStyle w:val="Heading1"/>
      </w:pPr>
      <w:r>
        <w:t>9 Clinical governance and validation</w:t>
      </w:r>
    </w:p>
    <w:p>
      <w:pPr>
        <w:pStyle w:val="Heading2"/>
      </w:pPr>
      <w:r>
        <w:t>9 1 Intended use and jurisdiction review</w:t>
      </w:r>
    </w:p>
    <w:p>
      <w:r>
        <w:t>The clinical operator must approve the intended users, supported concerns, output claims and care setting for each enabled feature. Patient-facing assessment and medicine guidance require a feature-level regulatory classification in the chosen jurisdiction. In the United States, the FDA January 2026 CDS guidance discusses non-device criteria and states that existing digital-health policies apply to device functions including those intended for patients or caregivers [S8]. Nora must not assume that a general disclaimer creates an exemption.</w:t>
      </w:r>
    </w:p>
    <w:p>
      <w:r>
        <w:t>HIPAA applicability depends on the parties and use; where it applies, cloud contracting and safeguards must be addressed [S6]. India, EU or other deployment requires current local privacy, clinical software and telehealth review by counsel. This PRD is an engineering baseline, not a finding that Nora is legally cleared or clinically validated.</w:t>
      </w:r>
    </w:p>
    <w:p>
      <w:pPr>
        <w:pStyle w:val="Heading2"/>
      </w:pPr>
      <w:r>
        <w:t>9 2 Clinical validation protocol</w:t>
      </w:r>
    </w:p>
    <w:p>
      <w:pPr>
        <w:pStyle w:val="ListBullet"/>
      </w:pPr>
      <w:r>
        <w:t>Clinical lead defines a versioned case library with inclusion/exclusion criteria, ground truth, severity labels, required follow-ups, acceptable explanations and escalation expectations. Reserve a holdout suite that is not used for prompt tuning.</w:t>
      </w:r>
    </w:p>
    <w:p>
      <w:pPr>
        <w:pStyle w:val="ListBullet"/>
      </w:pPr>
      <w:r>
        <w:t>Use two independent qualified reviewers for clinically material labels and a third to adjudicate disagreements. Document case sourcing, licences, deidentification and demographic coverage.</w:t>
      </w:r>
    </w:p>
    <w:p>
      <w:pPr>
        <w:pStyle w:val="ListBullet"/>
      </w:pPr>
      <w:r>
        <w:t>Evaluate urgency sensitivity and specificity, under-triage, over-triage, unsupported advice, medicine safety where enabled, evidence support, question completeness and patient comprehension. Report sample size and confidence intervals.</w:t>
      </w:r>
    </w:p>
    <w:p>
      <w:pPr>
        <w:pStyle w:val="ListBullet"/>
      </w:pPr>
      <w:r>
        <w:t>Stratify by supported age ranges, language, literacy, missing history, multiple conditions, symptom ambiguity, voice quality and report quality. A passing overall average cannot hide a failed critical subgroup.</w:t>
      </w:r>
    </w:p>
    <w:p>
      <w:pPr>
        <w:pStyle w:val="ListBullet"/>
      </w:pPr>
      <w:r>
        <w:t>Mandatory release suite: 100 percent schema validity, no fabricated evidence IDs, no successful isolation breach, all critical sentinel escalations correct, and no prohibited prescription/dosing instruction in P0. The clinical lead sets and signs broader sensitivity, specificity and advice-quality thresholds before patient testing.</w:t>
      </w:r>
    </w:p>
    <w:p>
      <w:pPr>
        <w:pStyle w:val="ListBullet"/>
      </w:pPr>
      <w:r>
        <w:t>Run a supervised pilot with incident monitoring and a stop procedure. Any critical under-triage, inappropriate medicine instruction or privacy breach triggers immediate capability suspension and investigation under the approved policy.</w:t>
      </w:r>
    </w:p>
    <w:p>
      <w:pPr>
        <w:pStyle w:val="ListBullet"/>
      </w:pPr>
      <w:r>
        <w:t>Revalidate model, prompt, question, rule, source, translation and extraction changes based on impact. Pin the evaluated versions in the release manifest; uncontrolled live learning is prohibited.</w:t>
      </w:r>
    </w:p>
    <w:p>
      <w:pPr>
        <w:pStyle w:val="Heading2"/>
      </w:pPr>
      <w:r>
        <w:t>9 3 Hazard and mitigation register</w:t>
      </w:r>
    </w:p>
    <w:tbl>
      <w:tblPr>
        <w:tblW w:type="auto" w:w="0"/>
        <w:jc w:val="center"/>
        <w:tblLayout w:type="fixed"/>
        <w:tblLook w:firstColumn="1" w:firstRow="1" w:lastColumn="0" w:lastRow="0" w:noHBand="0" w:noVBand="1" w:val="04A0"/>
      </w:tblPr>
      <w:tblGrid>
        <w:gridCol w:w="2088"/>
        <w:gridCol w:w="5976"/>
        <w:gridCol w:w="1872"/>
      </w:tblGrid>
      <w:tr>
        <w:trPr>
          <w:cantSplit/>
          <w:tblHeader/>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Hazard</w:t>
            </w:r>
          </w:p>
        </w:tc>
        <w:tc>
          <w:tcPr>
            <w:tcW w:type="dxa" w:w="59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Required mitigation</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Evidence owner</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Missed urgent case</w:t>
            </w:r>
          </w:p>
        </w:tc>
        <w:tc>
          <w:tcPr>
            <w:tcW w:type="dxa" w:w="59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Independent urgency rules, approved fallback, sentinel and holdout evaluation, incident stop policy</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Clinical lead</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Unsupported reassurance</w:t>
            </w:r>
          </w:p>
        </w:tc>
        <w:tc>
          <w:tcPr>
            <w:tcW w:type="dxa" w:w="59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Scope bounds, uncertainty display, evidence validation and incomplete-result route</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Clinical lead</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Unsafe medicine information</w:t>
            </w:r>
          </w:p>
        </w:tc>
        <w:tc>
          <w:tcPr>
            <w:tcW w:type="dxa" w:w="59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Education-only P0, licensed catalogue, context completeness, pharmacist-reviewed safety gates</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Pharmacist</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Misread report or voice</w:t>
            </w:r>
          </w:p>
        </w:tc>
        <w:tc>
          <w:tcPr>
            <w:tcW w:type="dxa" w:w="59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User confirmation, source provenance, critical-value checks and unsupported-format rejection</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Clinical and pipeline leads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Wrong patient or provider</w:t>
            </w:r>
          </w:p>
        </w:tc>
        <w:tc>
          <w:tcPr>
            <w:tcW w:type="dxa" w:w="59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Identity checks, explicit matching, verification and no ambiguous record writes</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Privacy and provider operations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Appointment appears confirmed incorrectly</w:t>
            </w:r>
          </w:p>
        </w:tc>
        <w:tc>
          <w:tcPr>
            <w:tcW w:type="dxa" w:w="59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Provider reference required, pending state and reconciliation</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Scheduling lead</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Cross-tenant information leak</w:t>
            </w:r>
          </w:p>
        </w:tc>
        <w:tc>
          <w:tcPr>
            <w:tcW w:type="dxa" w:w="59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Server permissions, database isolation, file/job/retrieval boundaries and adversarial tests</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Security lead</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Expired clinical knowledge</w:t>
            </w:r>
          </w:p>
        </w:tc>
        <w:tc>
          <w:tcPr>
            <w:tcW w:type="dxa" w:w="59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Review dates, approved bundles, revoked-source blocks and rollback</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Clinical governance</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User misreads advice</w:t>
            </w:r>
          </w:p>
        </w:tc>
        <w:tc>
          <w:tcPr>
            <w:tcW w:type="dxa" w:w="59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Plain language, accessible urgency display and moderated comprehension study</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Design and clinical leads</w:t>
            </w:r>
          </w:p>
        </w:tc>
      </w:tr>
    </w:tbl>
    <w:p/>
    <w:p>
      <w:pPr>
        <w:pStyle w:val="Heading2"/>
      </w:pPr>
      <w:r>
        <w:t>9 4 Incident handling and correction</w:t>
      </w:r>
    </w:p>
    <w:p>
      <w:r>
        <w:t>A clinical incident captures the exact case, released versions, timestamps and permitted evidence in a restricted incident record. Operations suspends the implicated capability where required. Clinical leadership assesses affected cases and authorizes corrected guidance and patient/provider communication. Corrections create new attributable records; they do not erase the original assessment. Closure includes root cause, regression cases, reviewer approval and prevention evidence.</w:t>
      </w:r>
    </w:p>
    <w:p>
      <w:pPr>
        <w:pStyle w:val="Heading1"/>
      </w:pPr>
      <w:r>
        <w:t>10 Delivery plan and release definition of done</w:t>
      </w:r>
    </w:p>
    <w:p>
      <w:pPr>
        <w:pStyle w:val="Heading2"/>
      </w:pPr>
      <w:r>
        <w:t>10 1 Release sequence and dependencies</w:t>
      </w:r>
    </w:p>
    <w:tbl>
      <w:tblPr>
        <w:tblW w:type="auto" w:w="0"/>
        <w:jc w:val="center"/>
        <w:tblLayout w:type="fixed"/>
        <w:tblLook w:firstColumn="1" w:firstRow="1" w:lastColumn="0" w:lastRow="0" w:noHBand="0" w:noVBand="1" w:val="04A0"/>
      </w:tblPr>
      <w:tblGrid>
        <w:gridCol w:w="1728"/>
        <w:gridCol w:w="4608"/>
        <w:gridCol w:w="3600"/>
      </w:tblGrid>
      <w:tr>
        <w:trPr>
          <w:cantSplit/>
          <w:tblHeader/>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Stage</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Deliverables</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Exit criteria</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Foundation</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Brand/UI library, identity, tenant model, consent, data contracts, clinical scope, source licences, threat model</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Design, clinical, privacy and architecture approvals; core isolation tests pass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P0 controlled pilot</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Text intake, question graph, urgency rules, bounded findings, evidence, plan, history, doctor discovery and handoff, review and content tools, operations</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All enabled feature ACs pass; clinical holdout review and supervised-pilot authorization complete</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P1 care operations</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Voice, report review, live booking, reminders, follow-up, signed notes, sharing and validated language packs</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Pipeline and provider certification; privacy and clinical evaluation for each added capability</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P2 enterprise expansion</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Controlled personalized medicine information, clinical record adapters, optional payments and delegation</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Feature-specific regulatory, clinical, partner and security gates complete</w:t>
            </w:r>
          </w:p>
        </w:tc>
      </w:tr>
    </w:tbl>
    <w:p/>
    <w:p>
      <w:r>
        <w:t>Implementation sequencing should begin with F01, F02, F03, F23, F24 and F25, then intake and clinical flow F04, F07, F08, F09, F10, F11 and F12. Care navigation F16 and F17 follows the provider directory F21. F22, F26, F28, F29 and F30 are required before the P0 pilot, even though they are less visible in the patient mockups. Estimate dates only after content, provider, legal and staffing dependencies are confirmed.</w:t>
      </w:r>
    </w:p>
    <w:p>
      <w:pPr>
        <w:pStyle w:val="Heading2"/>
      </w:pPr>
      <w:r>
        <w:t>10 2 Shared feature definition of done</w:t>
      </w:r>
    </w:p>
    <w:p>
      <w:pPr>
        <w:pStyle w:val="ListBullet"/>
      </w:pPr>
      <w:r>
        <w:t>All feature acceptance criteria are linked to test cases and passing evidence. The product owner signs off the user behaviour; the relevant clinical owner signs off any patient guidance or decision logic.</w:t>
      </w:r>
    </w:p>
    <w:p>
      <w:pPr>
        <w:pStyle w:val="ListBullet"/>
      </w:pPr>
      <w:r>
        <w:t>The implementation includes documented APIs, schema migrations, permission rules, event contracts and rollback compatibility. Database changes have a forward and recovery procedure.</w:t>
      </w:r>
    </w:p>
    <w:p>
      <w:pPr>
        <w:pStyle w:val="ListBullet"/>
      </w:pPr>
      <w:r>
        <w:t>Unit tests verify meaningful decision branches; contract tests verify payloads and partner boundaries; Playwright tests verify the complete enabled user journey, exceptional states and responsive layouts.</w:t>
      </w:r>
    </w:p>
    <w:p>
      <w:pPr>
        <w:pStyle w:val="ListBullet"/>
      </w:pPr>
      <w:r>
        <w:t>Security tests cover unauthorized access, tenant isolation, input handling and any file/webhook boundary. Critical or high exploitable release findings are resolved; accepted residual risks identify an accountable owner and expiry.</w:t>
      </w:r>
    </w:p>
    <w:p>
      <w:pPr>
        <w:pStyle w:val="ListBullet"/>
      </w:pPr>
      <w:r>
        <w:t>Accessibility verification includes automated checks and relevant manual keyboard and assistive-technology tests. Patient content is approved and no unresolved blocker remains.</w:t>
      </w:r>
    </w:p>
    <w:p>
      <w:pPr>
        <w:pStyle w:val="ListBullet"/>
      </w:pPr>
      <w:r>
        <w:t>Observability uses redacted metadata, defined alerts and useful correlation IDs. Operations receives a runbook, ownership, support procedure and rollback or kill-switch instructions.</w:t>
      </w:r>
    </w:p>
    <w:p>
      <w:pPr>
        <w:pStyle w:val="ListBullet"/>
      </w:pPr>
      <w:r>
        <w:t>Clinical evaluation and privacy review apply to the exact deployed model, prompts, rules, content, translations and provider settings. A completed demo does not satisfy these requirements.</w:t>
      </w:r>
    </w:p>
    <w:p>
      <w:pPr>
        <w:pStyle w:val="ListBullet"/>
      </w:pPr>
      <w:r>
        <w:t>The release artifact is versioned, deployed to staging, tested with synthetic or explicitly authorized cases, and approved for the intended environment. No secrets or health data are committed to source control.</w:t>
      </w:r>
    </w:p>
    <w:p>
      <w:pPr>
        <w:pStyle w:val="Heading2"/>
      </w:pPr>
      <w:r>
        <w:t>10 3 Test and traceability matrix</w:t>
      </w:r>
    </w:p>
    <w:tbl>
      <w:tblPr>
        <w:tblW w:type="auto" w:w="0"/>
        <w:jc w:val="center"/>
        <w:tblLayout w:type="fixed"/>
        <w:tblLook w:firstColumn="1" w:firstRow="1" w:lastColumn="0" w:lastRow="0" w:noHBand="0" w:noVBand="1" w:val="04A0"/>
      </w:tblPr>
      <w:tblGrid>
        <w:gridCol w:w="1584"/>
        <w:gridCol w:w="5616"/>
        <w:gridCol w:w="2736"/>
      </w:tblGrid>
      <w:tr>
        <w:trPr>
          <w:cantSplit/>
          <w:tblHeader/>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Test layer</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Required coverage</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Evidence</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Unit and rule</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Urgency, scope, answer semantics, state transitions, permissions and idempotency</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Automated suite tied to F IDs</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API and database</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Tenant isolation, version conflict, consent enforcement and data invariants</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Contract and adversarial tests</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End to end</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Patient check, edits, history, provider handoff/booking, clinician review and admin publish</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Playwright reports and screenshots</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Clinical</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Holdout cases, sentinel cases, unsafe advice, evidence quality and subgroup performance</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Signed clinician evaluation report</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Accessibility</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Complete enabled patient and staff workflows</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Automated results and manual audit</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Performance</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Reference workload, slow dependencies, reconnect and burst profile</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k6 reports and traces</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Resilience</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Model/rules/provider outages, duplicate callbacks, Redis loss and restore</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Measured incident exercises</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Privacy</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Export, withdrawal, deletion, legal hold and shared-link revocation</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Data inventory and job evidence</w:t>
            </w:r>
          </w:p>
        </w:tc>
      </w:tr>
    </w:tbl>
    <w:p/>
    <w:p>
      <w:pPr>
        <w:pStyle w:val="Heading2"/>
      </w:pPr>
      <w:r>
        <w:t>10 4 Production release gate</w:t>
      </w:r>
    </w:p>
    <w:p>
      <w:r>
        <w:t>Product accepts scope and behaviour. Clinical leadership accepts the clinical bundle and residual clinical risk. Security accepts the threat model, access review and penetration findings. Privacy/legal accepts jurisdiction, terms, processing purposes and required agreements. Operations accepts staffing, monitoring, recovery and incident procedures. The enterprise sponsor approves patient enablement only after this evidence is complete.</w:t>
      </w:r>
    </w:p>
    <w:p>
      <w:r>
        <w:t>The release manifest includes application image digests, schema version, infrastructure revision, tenant configuration, bundle ID, model version, language packs, source registry, provider adapter versions and evidence links. Canary deployment uses an explicitly approved cohort. Rollback must preserve immutable assessments and remain compatible with schema and consent state.</w:t>
      </w:r>
    </w:p>
    <w:p>
      <w:pPr>
        <w:pStyle w:val="Heading2"/>
      </w:pPr>
      <w:r>
        <w:t>10 5 Requirement ownership index</w:t>
      </w:r>
    </w:p>
    <w:tbl>
      <w:tblPr>
        <w:tblW w:type="auto" w:w="0"/>
        <w:jc w:val="center"/>
        <w:tblLayout w:type="fixed"/>
        <w:tblLook w:firstColumn="1" w:firstRow="1" w:lastColumn="0" w:lastRow="0" w:noHBand="0" w:noVBand="1" w:val="04A0"/>
      </w:tblPr>
      <w:tblGrid>
        <w:gridCol w:w="792"/>
        <w:gridCol w:w="6696"/>
        <w:gridCol w:w="2448"/>
      </w:tblGrid>
      <w:tr>
        <w:trPr>
          <w:cantSplit/>
          <w:tblHeader/>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ID</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Feature</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Release</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F01</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Enterprise identity and access</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P0</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F02</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Patient profile and processing consent</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P0</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F03</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New checks history and session lifecycle</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P0</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F04</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Conversational text intake</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P0</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F05</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Voice input and confirmed transcription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P1</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F06</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Reports upload and extraction review</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P1</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F07</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Adaptive follow up questions</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P0</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F08</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Scope checks urgency and immediate escalation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P0</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F09</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Bounded assessment and possible causes</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P0</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F10</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Findings workspace and plain language explanations</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P0</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F11</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Evidence citations and source provenance</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P0</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F12</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Care plan and next action checklist</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P0</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F13</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Context and transcript views</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P0</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F14</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Clinical notes summary export and sharing</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P1</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F15</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Medicines education and controlled guidance</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P0 education and P2 personalized guidance</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F16</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Doctor discovery profiles and recommendation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P0</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F17</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External appointment handoff</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P0</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F18</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Live appointment booking and reconciliation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P1</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F19</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Notifications reminders and preferences</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P1</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F20</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Follow up and reassessment</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P1</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F21</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Provider directory and schedule operations</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P0 directory and P1 schedules</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F22</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Clinician review queue and human decisions</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P0 review and P1 signed patient guidance</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F23</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Clinical knowledge questions and rule publishing</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P0</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F24</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Tenant administration branding and entitlements</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P0</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F25</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Audit trails security access and privileged support</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P0</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F26</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Privacy requests retention and data deletion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P0</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F27</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Enterprise integrations and clinical record exchange</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P2</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F28</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Operational analytics quality and enterprise reports</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P0</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F29</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Accessibility language and localization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P0 English and P1 validated languages</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F30</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Reliability monitoring and incident response</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P0</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F31</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Optional payment collection and reconciliation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P2 optional</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F32</w:t>
            </w:r>
          </w:p>
        </w:tc>
        <w:tc>
          <w:tcPr>
            <w:tcW w:type="dxa" w:w="66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Optional caregiver delegated access</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P2 optional</w:t>
            </w:r>
          </w:p>
        </w:tc>
      </w:tr>
    </w:tbl>
    <w:p/>
    <w:p>
      <w:pPr>
        <w:pStyle w:val="Heading1"/>
      </w:pPr>
      <w:r>
        <w:t>11 Decisions dependencies and reference sources</w:t>
      </w:r>
    </w:p>
    <w:p>
      <w:pPr>
        <w:pStyle w:val="Heading2"/>
      </w:pPr>
      <w:r>
        <w:t>11 1 Decisions required before implementation commitment</w:t>
      </w:r>
    </w:p>
    <w:tbl>
      <w:tblPr>
        <w:tblW w:type="auto" w:w="0"/>
        <w:jc w:val="center"/>
        <w:tblLayout w:type="fixed"/>
        <w:tblLook w:firstColumn="1" w:firstRow="1" w:lastColumn="0" w:lastRow="0" w:noHBand="0" w:noVBand="1" w:val="04A0"/>
      </w:tblPr>
      <w:tblGrid>
        <w:gridCol w:w="2016"/>
        <w:gridCol w:w="5904"/>
        <w:gridCol w:w="201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Decision</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Recommended baseline</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Accountable owner</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Product identity</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Nora Enterprise Health Assistant; approve logo and trademark</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Product sponsor</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Launch jurisdiction</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One region and one clinically governed pilot initially</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Sponsor and legal</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Intended clinical use</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Approved adult concerns with explicit exclusions; bounded assessment and navigation</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Clinical lead</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Patient identity</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Tenant-approved patient authentication with separate staff SSO</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Identity and privacy leads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Clinical coverage</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Signed question graphs, urgency protocols and licensed evidence</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Clinical governance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Review operation</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Define staffing, SLA and whether review changes patient-visible guidance</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Clinical operations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Providers and booking</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Verified directory plus P0 external handoff; live adapter in P1</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Provider operations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Retention and contracts</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Data-class schedule, processor agreements and any required BAAs</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Privacy and legal</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Model and region</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Benchmark approved Bedrock model; verify retention and residency configuration</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Clinical, security and platform</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Commercial model</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Enterprise tenant agreement; platform billing outside patient clinical flow</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Commercial owner</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P2 capabilities</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Explicit enablement decision for medicines, integrations, payments and delegation</w:t>
            </w:r>
          </w:p>
        </w:tc>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Sponsor and relevant clinical/legal owner</w:t>
            </w:r>
          </w:p>
        </w:tc>
      </w:tr>
    </w:tbl>
    <w:p/>
    <w:p>
      <w:pPr>
        <w:pStyle w:val="Heading2"/>
      </w:pPr>
      <w:r>
        <w:t>11 2 Dependencies and delivery risks</w:t>
      </w:r>
    </w:p>
    <w:p>
      <w:r>
        <w:t>Clinical content, provider verification and regulatory review are delivery dependencies, not tasks that can be completed by UI implementation alone. Procurement of medicine data and clinical-system access can delay P2 independently of the core platform. Keep adapter boundaries stable so partner delays do not block text intake or external booking.</w:t>
      </w:r>
    </w:p>
    <w:p>
      <w:r>
        <w:t>Do not commit a production date before the pilot scope, responsible clinical operator, source rights, region and identity provider are confirmed. Feature estimates must include validation and operational rollout. A change that broadens medical claims or patient populations may alter both validation and regulatory work.</w:t>
      </w:r>
    </w:p>
    <w:p>
      <w:pPr>
        <w:pStyle w:val="Heading2"/>
      </w:pPr>
      <w:r>
        <w:t>11 3 Source register</w:t>
      </w:r>
    </w:p>
    <w:p>
      <w:r>
        <w:t>Official technical and governance references checked on 12 October 2026. These sources support the named standards and implementation capabilities; the feature design, stack selection and numeric targets are product proposals. Recheck provider documentation and legal guidance when implementation and launch decisions are made.</w:t>
      </w:r>
    </w:p>
    <w:p>
      <w:pPr>
        <w:pStyle w:val="Heading3"/>
      </w:pPr>
      <w:r>
        <w:t>S1 W3C Web Content Accessibility Guidelines 2 2</w:t>
      </w:r>
    </w:p>
    <w:p>
      <w:r>
        <w:t>Accessibility conformance target and testable success criteria. Internal 44 px control target is a product choice.</w:t>
      </w:r>
    </w:p>
    <w:p>
      <w:hyperlink r:id="rId11">
        <w:r>
          <w:rPr>
            <w:color w:val="135E75"/>
          </w:rPr>
          <w:t>https://www.w3.org/TR/WCAG22/</w:t>
        </w:r>
      </w:hyperlink>
    </w:p>
    <w:p>
      <w:pPr>
        <w:pStyle w:val="Heading3"/>
      </w:pPr>
      <w:r>
        <w:t>S2 Next js App Router documentation</w:t>
      </w:r>
    </w:p>
    <w:p>
      <w:r>
        <w:t>Reference for the proposed web application framework; choose a supported pinned version.</w:t>
      </w:r>
    </w:p>
    <w:p>
      <w:hyperlink r:id="rId12">
        <w:r>
          <w:rPr>
            <w:color w:val="135E75"/>
          </w:rPr>
          <w:t>https://nextjs.org/docs/app</w:t>
        </w:r>
      </w:hyperlink>
    </w:p>
    <w:p>
      <w:pPr>
        <w:pStyle w:val="Heading3"/>
      </w:pPr>
      <w:r>
        <w:t>S3 NestJS documentation</w:t>
      </w:r>
    </w:p>
    <w:p>
      <w:r>
        <w:t>Reference for the proposed application API framework.</w:t>
      </w:r>
    </w:p>
    <w:p>
      <w:hyperlink r:id="rId13">
        <w:r>
          <w:rPr>
            <w:color w:val="135E75"/>
          </w:rPr>
          <w:t>https://docs.nestjs.com/</w:t>
        </w:r>
      </w:hyperlink>
    </w:p>
    <w:p>
      <w:pPr>
        <w:pStyle w:val="Heading3"/>
      </w:pPr>
      <w:r>
        <w:t>S4 Amazon Bedrock data protection and retention</w:t>
      </w:r>
    </w:p>
    <w:p>
      <w:r>
        <w:t>Verify the chosen model, deployment and contractual data controls. Also review the current retention documentation.</w:t>
      </w:r>
    </w:p>
    <w:p>
      <w:hyperlink r:id="rId14">
        <w:r>
          <w:rPr>
            <w:color w:val="135E75"/>
          </w:rPr>
          <w:t>https://docs.aws.amazon.com/bedrock/latest/userguide/data-protection.html</w:t>
        </w:r>
      </w:hyperlink>
    </w:p>
    <w:p>
      <w:pPr>
        <w:pStyle w:val="Heading3"/>
      </w:pPr>
      <w:r>
        <w:t>S5 Amazon Cognito SAML identity provider documentation</w:t>
      </w:r>
    </w:p>
    <w:p>
      <w:r>
        <w:t>Reference for enterprise identity federation.</w:t>
      </w:r>
    </w:p>
    <w:p>
      <w:hyperlink r:id="rId15">
        <w:r>
          <w:rPr>
            <w:color w:val="135E75"/>
          </w:rPr>
          <w:t>https://docs.aws.amazon.com/cognito/latest/developerguide/cognito-user-pools-saml-idp.html</w:t>
        </w:r>
      </w:hyperlink>
    </w:p>
    <w:p>
      <w:pPr>
        <w:pStyle w:val="Heading3"/>
      </w:pPr>
      <w:r>
        <w:t>S6 HHS guidance on HIPAA and cloud computing</w:t>
      </w:r>
    </w:p>
    <w:p>
      <w:r>
        <w:t>Cloud service responsibilities and agreements where HIPAA applies.</w:t>
      </w:r>
    </w:p>
    <w:p>
      <w:hyperlink r:id="rId16">
        <w:r>
          <w:rPr>
            <w:color w:val="135E75"/>
          </w:rPr>
          <w:t>https://www.hhs.gov/hipaa/for-professionals/special-topics/health-information-technology/cloud-computing/index.html</w:t>
        </w:r>
      </w:hyperlink>
    </w:p>
    <w:p>
      <w:pPr>
        <w:pStyle w:val="Heading3"/>
      </w:pPr>
      <w:r>
        <w:t>S7 HL7 FHIR R4 overview</w:t>
      </w:r>
    </w:p>
    <w:p>
      <w:r>
        <w:t>Reference for standards-based health information exchange; receiver profiles determine actual conformance.</w:t>
      </w:r>
    </w:p>
    <w:p>
      <w:hyperlink r:id="rId17">
        <w:r>
          <w:rPr>
            <w:color w:val="135E75"/>
          </w:rPr>
          <w:t>https://www.hl7.org/fhir/R4/overview.html</w:t>
        </w:r>
      </w:hyperlink>
    </w:p>
    <w:p>
      <w:pPr>
        <w:pStyle w:val="Heading3"/>
      </w:pPr>
      <w:r>
        <w:t>S8 FDA Clinical Decision Support Software guidance January 2026</w:t>
      </w:r>
    </w:p>
    <w:p>
      <w:r>
        <w:t>US feature classification reference; not a classification decision for Nora.</w:t>
      </w:r>
    </w:p>
    <w:p>
      <w:hyperlink r:id="rId18">
        <w:r>
          <w:rPr>
            <w:color w:val="135E75"/>
          </w:rPr>
          <w:t>https://www.fda.gov/regulatory-information/search-fda-guidance-documents/clinical-decision-support-software</w:t>
        </w:r>
      </w:hyperlink>
    </w:p>
    <w:p>
      <w:hyperlink r:id="rId19">
        <w:r>
          <w:rPr>
            <w:color w:val="135E75"/>
          </w:rPr>
          <w:t>Amazon Bedrock data retention documentation</w:t>
        </w:r>
      </w:hyperlink>
    </w:p>
    <w:p>
      <w:pPr>
        <w:pStyle w:val="Heading2"/>
      </w:pPr>
      <w:r>
        <w:t>11 4 Reference screen mapping</w:t>
      </w:r>
    </w:p>
    <w:tbl>
      <w:tblPr>
        <w:tblW w:type="auto" w:w="0"/>
        <w:jc w:val="center"/>
        <w:tblLayout w:type="fixed"/>
        <w:tblLook w:firstColumn="1" w:firstRow="1" w:lastColumn="0" w:lastRow="0" w:noHBand="0" w:noVBand="1" w:val="04A0"/>
      </w:tblPr>
      <w:tblGrid>
        <w:gridCol w:w="3456"/>
        <w:gridCol w:w="6480"/>
      </w:tblGrid>
      <w:tr>
        <w:trPr>
          <w:cantSplit/>
          <w:tblHeader/>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Supplied visual</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Product requirement coverage</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Main three-panel workspace</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F03, F04, F07 to F17 and Section 2 layout</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Composer and analysis component</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F04, F05, F07 and processing states</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Doctor recommendation card</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F16, F17, F18 and provider verification F21</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Next-step and care cards</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F08 and F12</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Plain explanation and warning cards</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F08, F10 and F12</w:t>
            </w:r>
          </w:p>
        </w:tc>
      </w:tr>
      <w:tr>
        <w:trPr>
          <w:cantSplit/>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Findings summary component</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F09, F10, F11, F13 and F14</w:t>
            </w:r>
          </w:p>
        </w:tc>
      </w:tr>
    </w:tbl>
    <w:p/>
    <w:p>
      <w:r>
        <w:t>The main image establishes the intake, findings and suggestions layout. The five companion images emphasize individual components. The enterprise staff and administration requirements in this specification support these patient components but require their own detailed design screens.</w:t>
      </w:r>
    </w:p>
    <w:p>
      <w:pPr>
        <w:pStyle w:val="Heading2"/>
      </w:pPr>
      <w:r>
        <w:t>11 5 Approval record</w:t>
      </w:r>
    </w:p>
    <w:tbl>
      <w:tblPr>
        <w:tblW w:type="auto" w:w="0"/>
        <w:jc w:val="center"/>
        <w:tblLayout w:type="fixed"/>
        <w:tblLook w:firstColumn="1" w:firstRow="1" w:lastColumn="0" w:lastRow="0" w:noHBand="0" w:noVBand="1" w:val="04A0"/>
      </w:tblPr>
      <w:tblGrid>
        <w:gridCol w:w="1944"/>
        <w:gridCol w:w="2304"/>
        <w:gridCol w:w="5688"/>
      </w:tblGrid>
      <w:tr>
        <w:trPr>
          <w:cantSplit/>
          <w:tblHeader/>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Approval</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Name and date</w:t>
            </w:r>
          </w:p>
        </w:tc>
        <w:tc>
          <w:tcPr>
            <w:tcW w:type="dxa" w:w="56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2B45"/>
          </w:tcPr>
          <w:p>
            <w:pPr>
              <w:spacing w:after="40" w:before="40" w:line="247" w:lineRule="auto"/>
            </w:pPr>
            <w:r>
              <w:rPr>
                <w:b/>
                <w:color w:val="FFFFFF"/>
                <w:sz w:val="18"/>
              </w:rPr>
              <w:t>Required evidence</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Product</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r>
          </w:p>
        </w:tc>
        <w:tc>
          <w:tcPr>
            <w:tcW w:type="dxa" w:w="56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Scope, branding, UX and enabled feature ACs</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Clinical</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r>
          </w:p>
        </w:tc>
        <w:tc>
          <w:tcPr>
            <w:tcW w:type="dxa" w:w="56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Intended use, content bundle, validation and residual risk</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Security</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r>
          </w:p>
        </w:tc>
        <w:tc>
          <w:tcPr>
            <w:tcW w:type="dxa" w:w="56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Threat model, permissions, penetration and recovery evidence</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Privacy and legal</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r>
          </w:p>
        </w:tc>
        <w:tc>
          <w:tcPr>
            <w:tcW w:type="dxa" w:w="56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Region, notices, retention, classification and agreements</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Operations</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r>
          </w:p>
        </w:tc>
        <w:tc>
          <w:tcPr>
            <w:tcW w:type="dxa" w:w="56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7" w:lineRule="auto"/>
            </w:pPr>
            <w:r>
              <w:rPr>
                <w:b w:val="0"/>
                <w:color w:val="000000"/>
                <w:sz w:val="18"/>
              </w:rPr>
              <w:t>Staffing, provider handoff, monitoring and incident procedures</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Enterprise sponsor</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r>
          </w:p>
        </w:tc>
        <w:tc>
          <w:tcPr>
            <w:tcW w:type="dxa" w:w="56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6F8"/>
          </w:tcPr>
          <w:p>
            <w:pPr>
              <w:spacing w:after="40" w:before="40" w:line="247" w:lineRule="auto"/>
            </w:pPr>
            <w:r>
              <w:rPr>
                <w:b w:val="0"/>
                <w:color w:val="000000"/>
                <w:sz w:val="18"/>
              </w:rPr>
              <w:t>Authorization to enable the signed release for the pilot cohort</w:t>
            </w:r>
          </w:p>
        </w:tc>
      </w:tr>
    </w:tbl>
    <w:p/>
    <w:sectPr w:rsidR="00FC693F" w:rsidRPr="0006063C" w:rsidSect="00034616">
      <w:headerReference w:type="default" r:id="rId9"/>
      <w:footerReference w:type="default" r:id="rId10"/>
      <w:pgSz w:w="12240" w:h="15840"/>
      <w:pgMar w:top="1008" w:right="1152" w:bottom="1008" w:left="115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1.0  |  12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NORA  /  ENTERPRISE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val="0"/>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3.org/TR/WCAG22/" TargetMode="External"/><Relationship Id="rId12" Type="http://schemas.openxmlformats.org/officeDocument/2006/relationships/hyperlink" Target="https://nextjs.org/docs/app" TargetMode="External"/><Relationship Id="rId13" Type="http://schemas.openxmlformats.org/officeDocument/2006/relationships/hyperlink" Target="https://docs.nestjs.com/" TargetMode="External"/><Relationship Id="rId14" Type="http://schemas.openxmlformats.org/officeDocument/2006/relationships/hyperlink" Target="https://docs.aws.amazon.com/bedrock/latest/userguide/data-protection.html" TargetMode="External"/><Relationship Id="rId15" Type="http://schemas.openxmlformats.org/officeDocument/2006/relationships/hyperlink" Target="https://docs.aws.amazon.com/cognito/latest/developerguide/cognito-user-pools-saml-idp.html" TargetMode="External"/><Relationship Id="rId16" Type="http://schemas.openxmlformats.org/officeDocument/2006/relationships/hyperlink" Target="https://www.hhs.gov/hipaa/for-professionals/special-topics/health-information-technology/cloud-computing/index.html" TargetMode="External"/><Relationship Id="rId17" Type="http://schemas.openxmlformats.org/officeDocument/2006/relationships/hyperlink" Target="https://www.hl7.org/fhir/R4/overview.html" TargetMode="External"/><Relationship Id="rId18" Type="http://schemas.openxmlformats.org/officeDocument/2006/relationships/hyperlink" Target="https://www.fda.gov/regulatory-information/search-fda-guidance-documents/clinical-decision-support-software" TargetMode="External"/><Relationship Id="rId19" Type="http://schemas.openxmlformats.org/officeDocument/2006/relationships/hyperlink" Target="https://docs.aws.amazon.com/bedrock/latest/userguide/data-reten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Nora Enterprise Health Assistant Product Requirements</dc:title>
  <dc:subject>Enterprise product requirements and implementation specification</dc:subject>
  <dc:creator>Valnora &amp; Elric</dc:creator>
  <cp:keywords>Nora, enterprise healthcare, PRD, acceptance criteria</cp:keywords>
  <dc:description>generated by python-docx</dc:description>
  <cp:lastModifiedBy/>
  <cp:revision>1</cp:revision>
  <dcterms:created xsi:type="dcterms:W3CDTF">2013-12-23T23:15:00Z</dcterms:created>
  <dcterms:modified xsi:type="dcterms:W3CDTF">2013-12-23T23:15:00Z</dcterms:modified>
  <cp:category/>
</cp:coreProperties>
</file>