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AeroNetB Aerospace Supply Chain Management</w:t>
      </w:r>
    </w:p>
    <w:p>
      <w:pPr>
        <w:pStyle w:val="Heading2"/>
        <w:bidi w:val="0"/>
        <w:jc w:val="start"/>
        <w:rPr/>
      </w:pPr>
      <w:r>
        <w:rPr/>
        <w:t>Database Design Document</w:t>
      </w:r>
    </w:p>
    <w:tbl>
      <w:tblPr>
        <w:tblW w:w="9866" w:type="dxa"/>
        <w:jc w:val="start"/>
        <w:tblInd w:w="0" w:type="dxa"/>
        <w:tblLayout w:type="fixed"/>
        <w:tblCellMar>
          <w:top w:w="28" w:type="dxa"/>
          <w:start w:w="28" w:type="dxa"/>
          <w:bottom w:w="28" w:type="dxa"/>
          <w:end w:w="28" w:type="dxa"/>
        </w:tblCellMar>
      </w:tblPr>
      <w:tblGrid>
        <w:gridCol w:w="2013"/>
        <w:gridCol w:w="7853"/>
      </w:tblGrid>
      <w:tr>
        <w:trPr/>
        <w:tc>
          <w:tcPr>
            <w:tcW w:w="2013" w:type="dxa"/>
            <w:tcBorders/>
            <w:vAlign w:val="center"/>
          </w:tcPr>
          <w:p>
            <w:pPr>
              <w:pStyle w:val="TableHeading"/>
              <w:suppressLineNumbers/>
              <w:shd w:fill="EEF2F6" w:val="clear"/>
              <w:bidi w:val="0"/>
              <w:jc w:val="start"/>
              <w:rPr/>
            </w:pPr>
            <w:r>
              <w:rPr/>
              <w:t>Module</w:t>
            </w:r>
          </w:p>
        </w:tc>
        <w:tc>
          <w:tcPr>
            <w:tcW w:w="7853" w:type="dxa"/>
            <w:tcBorders/>
            <w:vAlign w:val="center"/>
          </w:tcPr>
          <w:p>
            <w:pPr>
              <w:pStyle w:val="TableContents"/>
              <w:widowControl w:val="false"/>
              <w:suppressLineNumbers/>
              <w:bidi w:val="0"/>
              <w:jc w:val="start"/>
              <w:rPr/>
            </w:pPr>
            <w:r>
              <w:rPr/>
              <w:t>5CM506 Data Driven Systems</w:t>
            </w:r>
          </w:p>
        </w:tc>
      </w:tr>
      <w:tr>
        <w:trPr/>
        <w:tc>
          <w:tcPr>
            <w:tcW w:w="2013" w:type="dxa"/>
            <w:tcBorders/>
            <w:vAlign w:val="center"/>
          </w:tcPr>
          <w:p>
            <w:pPr>
              <w:pStyle w:val="TableHeading"/>
              <w:suppressLineNumbers/>
              <w:shd w:fill="EEF2F6" w:val="clear"/>
              <w:bidi w:val="0"/>
              <w:jc w:val="start"/>
              <w:rPr/>
            </w:pPr>
            <w:r>
              <w:rPr/>
              <w:t>Deliverable</w:t>
            </w:r>
          </w:p>
        </w:tc>
        <w:tc>
          <w:tcPr>
            <w:tcW w:w="7853" w:type="dxa"/>
            <w:tcBorders/>
            <w:vAlign w:val="center"/>
          </w:tcPr>
          <w:p>
            <w:pPr>
              <w:pStyle w:val="TableContents"/>
              <w:widowControl w:val="false"/>
              <w:suppressLineNumbers/>
              <w:bidi w:val="0"/>
              <w:jc w:val="start"/>
              <w:rPr/>
            </w:pPr>
            <w:r>
              <w:rPr/>
              <w:t>D-I Database Design Document, continued and refined for D-II implementation</w:t>
            </w:r>
          </w:p>
        </w:tc>
      </w:tr>
      <w:tr>
        <w:trPr/>
        <w:tc>
          <w:tcPr>
            <w:tcW w:w="2013" w:type="dxa"/>
            <w:tcBorders/>
            <w:vAlign w:val="center"/>
          </w:tcPr>
          <w:p>
            <w:pPr>
              <w:pStyle w:val="TableHeading"/>
              <w:suppressLineNumbers/>
              <w:shd w:fill="EEF2F6" w:val="clear"/>
              <w:bidi w:val="0"/>
              <w:jc w:val="start"/>
              <w:rPr/>
            </w:pPr>
            <w:r>
              <w:rPr/>
              <w:t>Student Name</w:t>
            </w:r>
          </w:p>
        </w:tc>
        <w:tc>
          <w:tcPr>
            <w:tcW w:w="7853" w:type="dxa"/>
            <w:tcBorders/>
            <w:vAlign w:val="center"/>
          </w:tcPr>
          <w:p>
            <w:pPr>
              <w:pStyle w:val="TableContents"/>
              <w:widowControl w:val="false"/>
              <w:suppressLineNumbers/>
              <w:bidi w:val="0"/>
              <w:jc w:val="start"/>
              <w:rPr/>
            </w:pPr>
            <w:r>
              <w:rPr/>
              <w:t>Spyros Kokkoris</w:t>
            </w:r>
          </w:p>
        </w:tc>
      </w:tr>
      <w:tr>
        <w:trPr/>
        <w:tc>
          <w:tcPr>
            <w:tcW w:w="2013" w:type="dxa"/>
            <w:tcBorders/>
            <w:vAlign w:val="center"/>
          </w:tcPr>
          <w:p>
            <w:pPr>
              <w:pStyle w:val="TableHeading"/>
              <w:suppressLineNumbers/>
              <w:shd w:fill="EEF2F6" w:val="clear"/>
              <w:bidi w:val="0"/>
              <w:jc w:val="start"/>
              <w:rPr/>
            </w:pPr>
            <w:r>
              <w:rPr/>
              <w:t>Student ID</w:t>
            </w:r>
          </w:p>
        </w:tc>
        <w:tc>
          <w:tcPr>
            <w:tcW w:w="7853" w:type="dxa"/>
            <w:tcBorders/>
            <w:vAlign w:val="center"/>
          </w:tcPr>
          <w:p>
            <w:pPr>
              <w:pStyle w:val="TableContents"/>
              <w:widowControl w:val="false"/>
              <w:suppressLineNumbers/>
              <w:bidi w:val="0"/>
              <w:jc w:val="start"/>
              <w:rPr/>
            </w:pPr>
            <w:r>
              <w:rPr/>
              <w:t>100774175</w:t>
            </w:r>
          </w:p>
        </w:tc>
      </w:tr>
      <w:tr>
        <w:trPr/>
        <w:tc>
          <w:tcPr>
            <w:tcW w:w="2013" w:type="dxa"/>
            <w:tcBorders/>
            <w:vAlign w:val="center"/>
          </w:tcPr>
          <w:p>
            <w:pPr>
              <w:pStyle w:val="TableHeading"/>
              <w:suppressLineNumbers/>
              <w:shd w:fill="EEF2F6" w:val="clear"/>
              <w:bidi w:val="0"/>
              <w:jc w:val="start"/>
              <w:rPr/>
            </w:pPr>
            <w:r>
              <w:rPr/>
              <w:t>Submission Date</w:t>
            </w:r>
          </w:p>
        </w:tc>
        <w:tc>
          <w:tcPr>
            <w:tcW w:w="7853" w:type="dxa"/>
            <w:tcBorders/>
            <w:vAlign w:val="center"/>
          </w:tcPr>
          <w:p>
            <w:pPr>
              <w:pStyle w:val="TableContents"/>
              <w:widowControl w:val="false"/>
              <w:suppressLineNumbers/>
              <w:bidi w:val="0"/>
              <w:jc w:val="start"/>
              <w:rPr/>
            </w:pPr>
            <w:r>
              <w:rPr/>
              <w:t>May 2026</w:t>
            </w:r>
          </w:p>
        </w:tc>
      </w:tr>
    </w:tbl>
    <w:p>
      <w:pPr>
        <w:pStyle w:val="Heading2"/>
        <w:bidi w:val="0"/>
        <w:jc w:val="start"/>
        <w:rPr/>
      </w:pPr>
      <w:r>
        <w:rPr/>
        <w:t>1. Introduction</w:t>
      </w:r>
    </w:p>
    <w:p>
      <w:pPr>
        <w:pStyle w:val="Heading3"/>
        <w:bidi w:val="0"/>
        <w:jc w:val="start"/>
        <w:rPr/>
      </w:pPr>
      <w:r>
        <w:rPr/>
        <w:t>1.1 Scenario Overview</w:t>
      </w:r>
    </w:p>
    <w:p>
      <w:pPr>
        <w:pStyle w:val="BodyText"/>
        <w:bidi w:val="0"/>
        <w:jc w:val="start"/>
        <w:rPr/>
      </w:pPr>
      <w:r>
        <w:rPr/>
        <w:t>AeroNetB Aerospace manufactures critical commercial aircraft components including fuselage sections and wing assemblies. The company relies on a global supplier network where each supplier may provide the same baseline part with different supplier-specific customisations, inspection evidence, shipment events, and certification records.</w:t>
      </w:r>
    </w:p>
    <w:p>
      <w:pPr>
        <w:pStyle w:val="BodyText"/>
        <w:bidi w:val="0"/>
        <w:jc w:val="start"/>
        <w:rPr/>
      </w:pPr>
      <w:r>
        <w:rPr/>
        <w:t>The existing business problem is fragmented data across spreadsheets, legacy databases, and manual logs. This causes duplicated supplier/order data, weak traceability, poor real-time visibility, and inconsistent access control. The proposed system provides a single data-driven application for supplier management, order tracking, shipment monitoring, QC reporting, certification control, IoT telemetry, role-based access, and audit logging.</w:t>
      </w:r>
    </w:p>
    <w:p>
      <w:pPr>
        <w:pStyle w:val="Heading3"/>
        <w:bidi w:val="0"/>
        <w:jc w:val="start"/>
        <w:rPr/>
      </w:pPr>
      <w:r>
        <w:rPr/>
        <w:t>1.2 System Objectives</w:t>
      </w:r>
    </w:p>
    <w:tbl>
      <w:tblPr>
        <w:tblW w:w="9866" w:type="dxa"/>
        <w:jc w:val="start"/>
        <w:tblInd w:w="0" w:type="dxa"/>
        <w:tblLayout w:type="fixed"/>
        <w:tblCellMar>
          <w:top w:w="28" w:type="dxa"/>
          <w:start w:w="28" w:type="dxa"/>
          <w:bottom w:w="28" w:type="dxa"/>
          <w:end w:w="28" w:type="dxa"/>
        </w:tblCellMar>
      </w:tblPr>
      <w:tblGrid>
        <w:gridCol w:w="441"/>
        <w:gridCol w:w="9425"/>
      </w:tblGrid>
      <w:tr>
        <w:trPr/>
        <w:tc>
          <w:tcPr>
            <w:tcW w:w="441" w:type="dxa"/>
            <w:tcBorders/>
            <w:vAlign w:val="center"/>
          </w:tcPr>
          <w:p>
            <w:pPr>
              <w:pStyle w:val="TableHeading"/>
              <w:suppressLineNumbers/>
              <w:shd w:fill="EEF2F6" w:val="clear"/>
              <w:bidi w:val="0"/>
              <w:jc w:val="start"/>
              <w:rPr/>
            </w:pPr>
            <w:r>
              <w:rPr/>
              <w:t>ID</w:t>
            </w:r>
          </w:p>
        </w:tc>
        <w:tc>
          <w:tcPr>
            <w:tcW w:w="9425" w:type="dxa"/>
            <w:tcBorders/>
            <w:vAlign w:val="center"/>
          </w:tcPr>
          <w:p>
            <w:pPr>
              <w:pStyle w:val="TableHeading"/>
              <w:suppressLineNumbers/>
              <w:shd w:fill="EEF2F6" w:val="clear"/>
              <w:bidi w:val="0"/>
              <w:jc w:val="start"/>
              <w:rPr/>
            </w:pPr>
            <w:r>
              <w:rPr/>
              <w:t>Objective</w:t>
            </w:r>
          </w:p>
        </w:tc>
      </w:tr>
      <w:tr>
        <w:trPr/>
        <w:tc>
          <w:tcPr>
            <w:tcW w:w="441" w:type="dxa"/>
            <w:tcBorders/>
            <w:vAlign w:val="center"/>
          </w:tcPr>
          <w:p>
            <w:pPr>
              <w:pStyle w:val="TableContents"/>
              <w:widowControl w:val="false"/>
              <w:suppressLineNumbers/>
              <w:bidi w:val="0"/>
              <w:jc w:val="start"/>
              <w:rPr/>
            </w:pPr>
            <w:r>
              <w:rPr/>
              <w:t>O1</w:t>
            </w:r>
          </w:p>
        </w:tc>
        <w:tc>
          <w:tcPr>
            <w:tcW w:w="9425" w:type="dxa"/>
            <w:tcBorders/>
            <w:vAlign w:val="center"/>
          </w:tcPr>
          <w:p>
            <w:pPr>
              <w:pStyle w:val="TableContents"/>
              <w:widowControl w:val="false"/>
              <w:suppressLineNumbers/>
              <w:bidi w:val="0"/>
              <w:jc w:val="start"/>
              <w:rPr/>
            </w:pPr>
            <w:r>
              <w:rPr/>
              <w:t>Maintain central supplier, part, and order records with relational integrity.</w:t>
            </w:r>
          </w:p>
        </w:tc>
      </w:tr>
      <w:tr>
        <w:trPr/>
        <w:tc>
          <w:tcPr>
            <w:tcW w:w="441" w:type="dxa"/>
            <w:tcBorders/>
            <w:vAlign w:val="center"/>
          </w:tcPr>
          <w:p>
            <w:pPr>
              <w:pStyle w:val="TableContents"/>
              <w:widowControl w:val="false"/>
              <w:suppressLineNumbers/>
              <w:bidi w:val="0"/>
              <w:jc w:val="start"/>
              <w:rPr/>
            </w:pPr>
            <w:r>
              <w:rPr/>
              <w:t>O2</w:t>
            </w:r>
          </w:p>
        </w:tc>
        <w:tc>
          <w:tcPr>
            <w:tcW w:w="9425" w:type="dxa"/>
            <w:tcBorders/>
            <w:vAlign w:val="center"/>
          </w:tcPr>
          <w:p>
            <w:pPr>
              <w:pStyle w:val="TableContents"/>
              <w:widowControl w:val="false"/>
              <w:suppressLineNumbers/>
              <w:bidi w:val="0"/>
              <w:jc w:val="start"/>
              <w:rPr/>
            </w:pPr>
            <w:r>
              <w:rPr/>
              <w:t>Model supplier-specific part variability without duplicating baseline part data.</w:t>
            </w:r>
          </w:p>
        </w:tc>
      </w:tr>
      <w:tr>
        <w:trPr/>
        <w:tc>
          <w:tcPr>
            <w:tcW w:w="441" w:type="dxa"/>
            <w:tcBorders/>
            <w:vAlign w:val="center"/>
          </w:tcPr>
          <w:p>
            <w:pPr>
              <w:pStyle w:val="TableContents"/>
              <w:widowControl w:val="false"/>
              <w:suppressLineNumbers/>
              <w:bidi w:val="0"/>
              <w:jc w:val="start"/>
              <w:rPr/>
            </w:pPr>
            <w:r>
              <w:rPr/>
              <w:t>O3</w:t>
            </w:r>
          </w:p>
        </w:tc>
        <w:tc>
          <w:tcPr>
            <w:tcW w:w="9425" w:type="dxa"/>
            <w:tcBorders/>
            <w:vAlign w:val="center"/>
          </w:tcPr>
          <w:p>
            <w:pPr>
              <w:pStyle w:val="TableContents"/>
              <w:widowControl w:val="false"/>
              <w:suppressLineNumbers/>
              <w:bidi w:val="0"/>
              <w:jc w:val="start"/>
              <w:rPr/>
            </w:pPr>
            <w:r>
              <w:rPr/>
              <w:t>Store flexible QC reports, certification payloads, and IoT readings in document collections.</w:t>
            </w:r>
          </w:p>
        </w:tc>
      </w:tr>
      <w:tr>
        <w:trPr/>
        <w:tc>
          <w:tcPr>
            <w:tcW w:w="441" w:type="dxa"/>
            <w:tcBorders/>
            <w:vAlign w:val="center"/>
          </w:tcPr>
          <w:p>
            <w:pPr>
              <w:pStyle w:val="TableContents"/>
              <w:widowControl w:val="false"/>
              <w:suppressLineNumbers/>
              <w:bidi w:val="0"/>
              <w:jc w:val="start"/>
              <w:rPr/>
            </w:pPr>
            <w:r>
              <w:rPr/>
              <w:t>O4</w:t>
            </w:r>
          </w:p>
        </w:tc>
        <w:tc>
          <w:tcPr>
            <w:tcW w:w="9425" w:type="dxa"/>
            <w:tcBorders/>
            <w:vAlign w:val="center"/>
          </w:tcPr>
          <w:p>
            <w:pPr>
              <w:pStyle w:val="TableContents"/>
              <w:widowControl w:val="false"/>
              <w:suppressLineNumbers/>
              <w:bidi w:val="0"/>
              <w:jc w:val="start"/>
              <w:rPr/>
            </w:pPr>
            <w:r>
              <w:rPr/>
              <w:t>Enforce RBAC for procurement, quality, supply chain, equipment, and audit users.</w:t>
            </w:r>
          </w:p>
        </w:tc>
      </w:tr>
      <w:tr>
        <w:trPr/>
        <w:tc>
          <w:tcPr>
            <w:tcW w:w="441" w:type="dxa"/>
            <w:tcBorders/>
            <w:vAlign w:val="center"/>
          </w:tcPr>
          <w:p>
            <w:pPr>
              <w:pStyle w:val="TableContents"/>
              <w:widowControl w:val="false"/>
              <w:suppressLineNumbers/>
              <w:bidi w:val="0"/>
              <w:jc w:val="start"/>
              <w:rPr/>
            </w:pPr>
            <w:r>
              <w:rPr/>
              <w:t>O5</w:t>
            </w:r>
          </w:p>
        </w:tc>
        <w:tc>
          <w:tcPr>
            <w:tcW w:w="9425" w:type="dxa"/>
            <w:tcBorders/>
            <w:vAlign w:val="center"/>
          </w:tcPr>
          <w:p>
            <w:pPr>
              <w:pStyle w:val="TableContents"/>
              <w:widowControl w:val="false"/>
              <w:suppressLineNumbers/>
              <w:bidi w:val="0"/>
              <w:jc w:val="start"/>
              <w:rPr/>
            </w:pPr>
            <w:r>
              <w:rPr/>
              <w:t>Make approved certifications immutable and preserve QC report version history.</w:t>
            </w:r>
          </w:p>
        </w:tc>
      </w:tr>
      <w:tr>
        <w:trPr/>
        <w:tc>
          <w:tcPr>
            <w:tcW w:w="441" w:type="dxa"/>
            <w:tcBorders/>
            <w:vAlign w:val="center"/>
          </w:tcPr>
          <w:p>
            <w:pPr>
              <w:pStyle w:val="TableContents"/>
              <w:widowControl w:val="false"/>
              <w:suppressLineNumbers/>
              <w:bidi w:val="0"/>
              <w:jc w:val="start"/>
              <w:rPr/>
            </w:pPr>
            <w:r>
              <w:rPr/>
              <w:t>O6</w:t>
            </w:r>
          </w:p>
        </w:tc>
        <w:tc>
          <w:tcPr>
            <w:tcW w:w="9425" w:type="dxa"/>
            <w:tcBorders/>
            <w:vAlign w:val="center"/>
          </w:tcPr>
          <w:p>
            <w:pPr>
              <w:pStyle w:val="TableContents"/>
              <w:widowControl w:val="false"/>
              <w:suppressLineNumbers/>
              <w:bidi w:val="0"/>
              <w:jc w:val="start"/>
              <w:rPr/>
            </w:pPr>
            <w:r>
              <w:rPr/>
              <w:t>Provide a web dashboard with live API-backed data, alerts, search, export, and role-specific views.</w:t>
            </w:r>
          </w:p>
        </w:tc>
      </w:tr>
    </w:tbl>
    <w:p>
      <w:pPr>
        <w:pStyle w:val="Heading3"/>
        <w:bidi w:val="0"/>
        <w:jc w:val="start"/>
        <w:rPr/>
      </w:pPr>
      <w:r>
        <w:rPr/>
        <w:t>1.3 Design Approach</w:t>
      </w:r>
    </w:p>
    <w:p>
      <w:pPr>
        <w:pStyle w:val="BodyText"/>
        <w:bidi w:val="0"/>
        <w:jc w:val="start"/>
        <w:rPr/>
      </w:pPr>
      <w:r>
        <w:rPr/>
        <w:t>The design follows the normal database design sequence: requirements analysis, conceptual ER modelling, logical relational modelling, document modelling, and implementation refinement. A hybrid architecture is used because the scenario contains both stable structured data and variable high-volume data. PostgreSQL is used for relational entities with strong keys and foreign keys. MongoDB is used for flexible JSON documents such as QC report payloads, certification evidence, IoT readings, and compliance flags.</w:t>
      </w:r>
    </w:p>
    <w:p>
      <w:pPr>
        <w:pStyle w:val="Heading2"/>
        <w:bidi w:val="0"/>
        <w:jc w:val="start"/>
        <w:rPr/>
      </w:pPr>
      <w:r>
        <w:rPr/>
        <w:t>2. Requirements Analysis</w:t>
      </w:r>
    </w:p>
    <w:tbl>
      <w:tblPr>
        <w:tblW w:w="9866" w:type="dxa"/>
        <w:jc w:val="start"/>
        <w:tblInd w:w="0" w:type="dxa"/>
        <w:tblLayout w:type="fixed"/>
        <w:tblCellMar>
          <w:top w:w="28" w:type="dxa"/>
          <w:start w:w="28" w:type="dxa"/>
          <w:bottom w:w="28" w:type="dxa"/>
          <w:end w:w="28" w:type="dxa"/>
        </w:tblCellMar>
      </w:tblPr>
      <w:tblGrid>
        <w:gridCol w:w="2276"/>
        <w:gridCol w:w="7590"/>
      </w:tblGrid>
      <w:tr>
        <w:trPr/>
        <w:tc>
          <w:tcPr>
            <w:tcW w:w="2276" w:type="dxa"/>
            <w:tcBorders/>
            <w:vAlign w:val="center"/>
          </w:tcPr>
          <w:p>
            <w:pPr>
              <w:pStyle w:val="TableHeading"/>
              <w:suppressLineNumbers/>
              <w:shd w:fill="EEF2F6" w:val="clear"/>
              <w:bidi w:val="0"/>
              <w:jc w:val="start"/>
              <w:rPr/>
            </w:pPr>
            <w:r>
              <w:rPr/>
              <w:t>Requirement</w:t>
            </w:r>
          </w:p>
        </w:tc>
        <w:tc>
          <w:tcPr>
            <w:tcW w:w="7590" w:type="dxa"/>
            <w:tcBorders/>
            <w:vAlign w:val="center"/>
          </w:tcPr>
          <w:p>
            <w:pPr>
              <w:pStyle w:val="TableHeading"/>
              <w:suppressLineNumbers/>
              <w:shd w:fill="EEF2F6" w:val="clear"/>
              <w:bidi w:val="0"/>
              <w:jc w:val="start"/>
              <w:rPr/>
            </w:pPr>
            <w:r>
              <w:rPr/>
              <w:t>Description</w:t>
            </w:r>
          </w:p>
        </w:tc>
      </w:tr>
      <w:tr>
        <w:trPr/>
        <w:tc>
          <w:tcPr>
            <w:tcW w:w="2276" w:type="dxa"/>
            <w:tcBorders/>
            <w:vAlign w:val="center"/>
          </w:tcPr>
          <w:p>
            <w:pPr>
              <w:pStyle w:val="TableContents"/>
              <w:widowControl w:val="false"/>
              <w:suppressLineNumbers/>
              <w:bidi w:val="0"/>
              <w:jc w:val="start"/>
              <w:rPr/>
            </w:pPr>
            <w:r>
              <w:rPr/>
              <w:t>Supplier and part management</w:t>
            </w:r>
          </w:p>
        </w:tc>
        <w:tc>
          <w:tcPr>
            <w:tcW w:w="7590" w:type="dxa"/>
            <w:tcBorders/>
            <w:vAlign w:val="center"/>
          </w:tcPr>
          <w:p>
            <w:pPr>
              <w:pStyle w:val="TableContents"/>
              <w:widowControl w:val="false"/>
              <w:suppressLineNumbers/>
              <w:bidi w:val="0"/>
              <w:jc w:val="start"/>
              <w:rPr/>
            </w:pPr>
            <w:r>
              <w:rPr/>
              <w:t>Suppliers have accreditation and contact information. Parts have baseline specifications. Supplier-part offerings store customisation notes and supplier part codes.</w:t>
            </w:r>
          </w:p>
        </w:tc>
      </w:tr>
      <w:tr>
        <w:trPr/>
        <w:tc>
          <w:tcPr>
            <w:tcW w:w="2276" w:type="dxa"/>
            <w:tcBorders/>
            <w:vAlign w:val="center"/>
          </w:tcPr>
          <w:p>
            <w:pPr>
              <w:pStyle w:val="TableContents"/>
              <w:widowControl w:val="false"/>
              <w:suppressLineNumbers/>
              <w:bidi w:val="0"/>
              <w:jc w:val="start"/>
              <w:rPr/>
            </w:pPr>
            <w:r>
              <w:rPr/>
              <w:t>Orders and shipments</w:t>
            </w:r>
          </w:p>
        </w:tc>
        <w:tc>
          <w:tcPr>
            <w:tcW w:w="7590" w:type="dxa"/>
            <w:tcBorders/>
            <w:vAlign w:val="center"/>
          </w:tcPr>
          <w:p>
            <w:pPr>
              <w:pStyle w:val="TableContents"/>
              <w:widowControl w:val="false"/>
              <w:suppressLineNumbers/>
              <w:bidi w:val="0"/>
              <w:jc w:val="start"/>
              <w:rPr/>
            </w:pPr>
            <w:r>
              <w:rPr/>
              <w:t>Purchase orders track status from placed to completed. Shipments store tracking numbers, ETA, ports of entry, and event updates.</w:t>
            </w:r>
          </w:p>
        </w:tc>
      </w:tr>
      <w:tr>
        <w:trPr/>
        <w:tc>
          <w:tcPr>
            <w:tcW w:w="2276" w:type="dxa"/>
            <w:tcBorders/>
            <w:vAlign w:val="center"/>
          </w:tcPr>
          <w:p>
            <w:pPr>
              <w:pStyle w:val="TableContents"/>
              <w:widowControl w:val="false"/>
              <w:suppressLineNumbers/>
              <w:bidi w:val="0"/>
              <w:jc w:val="start"/>
              <w:rPr/>
            </w:pPr>
            <w:r>
              <w:rPr/>
              <w:t>Quality control</w:t>
            </w:r>
          </w:p>
        </w:tc>
        <w:tc>
          <w:tcPr>
            <w:tcW w:w="7590" w:type="dxa"/>
            <w:tcBorders/>
            <w:vAlign w:val="center"/>
          </w:tcPr>
          <w:p>
            <w:pPr>
              <w:pStyle w:val="TableContents"/>
              <w:widowControl w:val="false"/>
              <w:suppressLineNumbers/>
              <w:bidi w:val="0"/>
              <w:jc w:val="start"/>
              <w:rPr/>
            </w:pPr>
            <w:r>
              <w:rPr/>
              <w:t>QC reports vary by inspection type. Reports are versioned and linked to supplier, part, order, and inspector identifiers.</w:t>
            </w:r>
          </w:p>
        </w:tc>
      </w:tr>
      <w:tr>
        <w:trPr/>
        <w:tc>
          <w:tcPr>
            <w:tcW w:w="2276" w:type="dxa"/>
            <w:tcBorders/>
            <w:vAlign w:val="center"/>
          </w:tcPr>
          <w:p>
            <w:pPr>
              <w:pStyle w:val="TableContents"/>
              <w:widowControl w:val="false"/>
              <w:suppressLineNumbers/>
              <w:bidi w:val="0"/>
              <w:jc w:val="start"/>
              <w:rPr/>
            </w:pPr>
            <w:r>
              <w:rPr/>
              <w:t>Certification</w:t>
            </w:r>
          </w:p>
        </w:tc>
        <w:tc>
          <w:tcPr>
            <w:tcW w:w="7590" w:type="dxa"/>
            <w:tcBorders/>
            <w:vAlign w:val="center"/>
          </w:tcPr>
          <w:p>
            <w:pPr>
              <w:pStyle w:val="TableContents"/>
              <w:widowControl w:val="false"/>
              <w:suppressLineNumbers/>
              <w:bidi w:val="0"/>
              <w:jc w:val="start"/>
              <w:rPr/>
            </w:pPr>
            <w:r>
              <w:rPr/>
              <w:t>Certification documents contain test results, batch origin, digital signature, and approval metadata. Approved records become immutable.</w:t>
            </w:r>
          </w:p>
        </w:tc>
      </w:tr>
      <w:tr>
        <w:trPr/>
        <w:tc>
          <w:tcPr>
            <w:tcW w:w="2276" w:type="dxa"/>
            <w:tcBorders/>
            <w:vAlign w:val="center"/>
          </w:tcPr>
          <w:p>
            <w:pPr>
              <w:pStyle w:val="TableContents"/>
              <w:widowControl w:val="false"/>
              <w:suppressLineNumbers/>
              <w:bidi w:val="0"/>
              <w:jc w:val="start"/>
              <w:rPr/>
            </w:pPr>
            <w:r>
              <w:rPr/>
              <w:t>IoT monitoring</w:t>
            </w:r>
          </w:p>
        </w:tc>
        <w:tc>
          <w:tcPr>
            <w:tcW w:w="7590" w:type="dxa"/>
            <w:tcBorders/>
            <w:vAlign w:val="center"/>
          </w:tcPr>
          <w:p>
            <w:pPr>
              <w:pStyle w:val="TableContents"/>
              <w:widowControl w:val="false"/>
              <w:suppressLineNumbers/>
              <w:bidi w:val="0"/>
              <w:jc w:val="start"/>
              <w:rPr/>
            </w:pPr>
            <w:r>
              <w:rPr/>
              <w:t>Equipment and transit devices produce timestamped sensor readings including temperature, vibration, pressure, and GPS data.</w:t>
            </w:r>
          </w:p>
        </w:tc>
      </w:tr>
      <w:tr>
        <w:trPr/>
        <w:tc>
          <w:tcPr>
            <w:tcW w:w="2276" w:type="dxa"/>
            <w:tcBorders/>
            <w:vAlign w:val="center"/>
          </w:tcPr>
          <w:p>
            <w:pPr>
              <w:pStyle w:val="TableContents"/>
              <w:widowControl w:val="false"/>
              <w:suppressLineNumbers/>
              <w:bidi w:val="0"/>
              <w:jc w:val="start"/>
              <w:rPr/>
            </w:pPr>
            <w:r>
              <w:rPr/>
              <w:t>RBAC and audit</w:t>
            </w:r>
          </w:p>
        </w:tc>
        <w:tc>
          <w:tcPr>
            <w:tcW w:w="7590" w:type="dxa"/>
            <w:tcBorders/>
            <w:vAlign w:val="center"/>
          </w:tcPr>
          <w:p>
            <w:pPr>
              <w:pStyle w:val="TableContents"/>
              <w:widowControl w:val="false"/>
              <w:suppressLineNumbers/>
              <w:bidi w:val="0"/>
              <w:jc w:val="start"/>
              <w:rPr/>
            </w:pPr>
            <w:r>
              <w:rPr/>
              <w:t>Users authenticate by auth ID. Permissions control read, write, approve, export, and audit actions. Important actions are logged with emp_id.</w:t>
            </w:r>
          </w:p>
        </w:tc>
      </w:tr>
      <w:tr>
        <w:trPr/>
        <w:tc>
          <w:tcPr>
            <w:tcW w:w="2276" w:type="dxa"/>
            <w:tcBorders/>
            <w:vAlign w:val="center"/>
          </w:tcPr>
          <w:p>
            <w:pPr>
              <w:pStyle w:val="TableContents"/>
              <w:widowControl w:val="false"/>
              <w:suppressLineNumbers/>
              <w:bidi w:val="0"/>
              <w:jc w:val="start"/>
              <w:rPr/>
            </w:pPr>
            <w:r>
              <w:rPr/>
              <w:t>Dashboard</w:t>
            </w:r>
          </w:p>
        </w:tc>
        <w:tc>
          <w:tcPr>
            <w:tcW w:w="7590" w:type="dxa"/>
            <w:tcBorders/>
            <w:vAlign w:val="center"/>
          </w:tcPr>
          <w:p>
            <w:pPr>
              <w:pStyle w:val="TableContents"/>
              <w:widowControl w:val="false"/>
              <w:suppressLineNumbers/>
              <w:bidi w:val="0"/>
              <w:jc w:val="start"/>
              <w:rPr/>
            </w:pPr>
            <w:r>
              <w:rPr/>
              <w:t>The UI supports shipment tracking, supplier KPIs, QC trends, IoT alerts, role-specific workflows, search, CSV export, and drill-down tables.</w:t>
            </w:r>
          </w:p>
        </w:tc>
      </w:tr>
    </w:tbl>
    <w:p>
      <w:pPr>
        <w:pStyle w:val="Heading2"/>
        <w:bidi w:val="0"/>
        <w:jc w:val="start"/>
        <w:rPr/>
      </w:pPr>
      <w:r>
        <w:rPr/>
        <w:t>3. Conceptual Design</w:t>
      </w:r>
    </w:p>
    <w:p>
      <w:pPr>
        <w:pStyle w:val="BodyText"/>
        <w:bidi w:val="0"/>
        <w:jc w:val="start"/>
        <w:rPr/>
      </w:pPr>
      <w:r>
        <w:rPr/>
        <w:t>The conceptual model is technology-agnostic. It identifies the main business entities, their identifiers, attributes, and relationships. Dashed entities in the diagram represent document-style domains that are linked by shared identifiers rather than relational foreign keys.</w:t>
      </w:r>
    </w:p>
    <w:p>
      <w:pPr>
        <w:pStyle w:val="BodyText"/>
        <w:bidi w:val="0"/>
        <w:jc w:val="start"/>
        <w:rPr/>
      </w:pPr>
      <w:r>
        <w:rPr/>
        <w:drawing>
          <wp:inline distT="0" distB="0" distL="0" distR="0">
            <wp:extent cx="18230850" cy="9886950"/>
            <wp:effectExtent l="0" t="0" r="0" b="0"/>
            <wp:docPr id="1" name="Image1" title="Conceptual ER model for AeroNetB AS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onceptual ER model for AeroNetB ASCM"/>
                    <pic:cNvPicPr>
                      <a:picLocks noChangeAspect="1" noChangeArrowheads="1"/>
                    </pic:cNvPicPr>
                  </pic:nvPicPr>
                  <pic:blipFill>
                    <a:blip r:link="rId2"/>
                    <a:stretch>
                      <a:fillRect/>
                    </a:stretch>
                  </pic:blipFill>
                  <pic:spPr bwMode="auto">
                    <a:xfrm>
                      <a:off x="0" y="0"/>
                      <a:ext cx="18230850" cy="9886950"/>
                    </a:xfrm>
                    <a:prstGeom prst="rect">
                      <a:avLst/>
                    </a:prstGeom>
                    <a:noFill/>
                  </pic:spPr>
                </pic:pic>
              </a:graphicData>
            </a:graphic>
          </wp:inline>
        </w:drawing>
      </w:r>
      <w:r>
        <w:rPr/>
        <w:t xml:space="preserve"> </w:t>
      </w:r>
      <w:r>
        <w:rPr/>
        <w:t xml:space="preserve">Figure 1 - Conceptual ER Model for AeroNetB ASCM </w:t>
      </w:r>
    </w:p>
    <w:p>
      <w:pPr>
        <w:pStyle w:val="Heading3"/>
        <w:bidi w:val="0"/>
        <w:jc w:val="start"/>
        <w:rPr/>
      </w:pPr>
      <w:r>
        <w:rPr/>
        <w:t>3.1 Key Modelling Choices</w:t>
      </w:r>
    </w:p>
    <w:tbl>
      <w:tblPr>
        <w:tblW w:w="9866" w:type="dxa"/>
        <w:jc w:val="start"/>
        <w:tblInd w:w="0" w:type="dxa"/>
        <w:tblLayout w:type="fixed"/>
        <w:tblCellMar>
          <w:top w:w="28" w:type="dxa"/>
          <w:start w:w="28" w:type="dxa"/>
          <w:bottom w:w="28" w:type="dxa"/>
          <w:end w:w="28" w:type="dxa"/>
        </w:tblCellMar>
      </w:tblPr>
      <w:tblGrid>
        <w:gridCol w:w="3091"/>
        <w:gridCol w:w="6775"/>
      </w:tblGrid>
      <w:tr>
        <w:trPr/>
        <w:tc>
          <w:tcPr>
            <w:tcW w:w="3091" w:type="dxa"/>
            <w:tcBorders/>
            <w:vAlign w:val="center"/>
          </w:tcPr>
          <w:p>
            <w:pPr>
              <w:pStyle w:val="TableHeading"/>
              <w:suppressLineNumbers/>
              <w:shd w:fill="EEF2F6" w:val="clear"/>
              <w:bidi w:val="0"/>
              <w:jc w:val="start"/>
              <w:rPr/>
            </w:pPr>
            <w:r>
              <w:rPr/>
              <w:t>Choice</w:t>
            </w:r>
          </w:p>
        </w:tc>
        <w:tc>
          <w:tcPr>
            <w:tcW w:w="6775" w:type="dxa"/>
            <w:tcBorders/>
            <w:vAlign w:val="center"/>
          </w:tcPr>
          <w:p>
            <w:pPr>
              <w:pStyle w:val="TableHeading"/>
              <w:suppressLineNumbers/>
              <w:shd w:fill="EEF2F6" w:val="clear"/>
              <w:bidi w:val="0"/>
              <w:jc w:val="start"/>
              <w:rPr/>
            </w:pPr>
            <w:r>
              <w:rPr/>
              <w:t>Justification</w:t>
            </w:r>
          </w:p>
        </w:tc>
      </w:tr>
      <w:tr>
        <w:trPr/>
        <w:tc>
          <w:tcPr>
            <w:tcW w:w="3091" w:type="dxa"/>
            <w:tcBorders/>
            <w:vAlign w:val="center"/>
          </w:tcPr>
          <w:p>
            <w:pPr>
              <w:pStyle w:val="TableContents"/>
              <w:widowControl w:val="false"/>
              <w:suppressLineNumbers/>
              <w:bidi w:val="0"/>
              <w:jc w:val="start"/>
              <w:rPr/>
            </w:pPr>
            <w:r>
              <w:rPr/>
              <w:t>Separate Part from Supplier_Part</w:t>
            </w:r>
          </w:p>
        </w:tc>
        <w:tc>
          <w:tcPr>
            <w:tcW w:w="6775" w:type="dxa"/>
            <w:tcBorders/>
            <w:vAlign w:val="center"/>
          </w:tcPr>
          <w:p>
            <w:pPr>
              <w:pStyle w:val="TableContents"/>
              <w:widowControl w:val="false"/>
              <w:suppressLineNumbers/>
              <w:bidi w:val="0"/>
              <w:jc w:val="start"/>
              <w:rPr/>
            </w:pPr>
            <w:r>
              <w:rPr/>
              <w:t>The same baseline aerospace part can be sourced from multiple suppliers, but each supplier can add different features. This avoids duplication of baseline specifications.</w:t>
            </w:r>
          </w:p>
        </w:tc>
      </w:tr>
      <w:tr>
        <w:trPr/>
        <w:tc>
          <w:tcPr>
            <w:tcW w:w="3091" w:type="dxa"/>
            <w:tcBorders/>
            <w:vAlign w:val="center"/>
          </w:tcPr>
          <w:p>
            <w:pPr>
              <w:pStyle w:val="TableContents"/>
              <w:widowControl w:val="false"/>
              <w:suppressLineNumbers/>
              <w:bidi w:val="0"/>
              <w:jc w:val="start"/>
              <w:rPr/>
            </w:pPr>
            <w:r>
              <w:rPr/>
              <w:t>Use Shipment_Event</w:t>
            </w:r>
          </w:p>
        </w:tc>
        <w:tc>
          <w:tcPr>
            <w:tcW w:w="6775" w:type="dxa"/>
            <w:tcBorders/>
            <w:vAlign w:val="center"/>
          </w:tcPr>
          <w:p>
            <w:pPr>
              <w:pStyle w:val="TableContents"/>
              <w:widowControl w:val="false"/>
              <w:suppressLineNumbers/>
              <w:bidi w:val="0"/>
              <w:jc w:val="start"/>
              <w:rPr/>
            </w:pPr>
            <w:r>
              <w:rPr/>
              <w:t>Shipment location and condition updates are repeated over time, so they belong in a separate event entity.</w:t>
            </w:r>
          </w:p>
        </w:tc>
      </w:tr>
      <w:tr>
        <w:trPr/>
        <w:tc>
          <w:tcPr>
            <w:tcW w:w="3091" w:type="dxa"/>
            <w:tcBorders/>
            <w:vAlign w:val="center"/>
          </w:tcPr>
          <w:p>
            <w:pPr>
              <w:pStyle w:val="TableContents"/>
              <w:widowControl w:val="false"/>
              <w:suppressLineNumbers/>
              <w:bidi w:val="0"/>
              <w:jc w:val="start"/>
              <w:rPr/>
            </w:pPr>
            <w:r>
              <w:rPr/>
              <w:t>Use Employee, Role, Permission, and Audit_Log</w:t>
            </w:r>
          </w:p>
        </w:tc>
        <w:tc>
          <w:tcPr>
            <w:tcW w:w="6775" w:type="dxa"/>
            <w:tcBorders/>
            <w:vAlign w:val="center"/>
          </w:tcPr>
          <w:p>
            <w:pPr>
              <w:pStyle w:val="TableContents"/>
              <w:widowControl w:val="false"/>
              <w:suppressLineNumbers/>
              <w:bidi w:val="0"/>
              <w:jc w:val="start"/>
              <w:rPr/>
            </w:pPr>
            <w:r>
              <w:rPr/>
              <w:t>The scenario requires all actions to be attributable to emp_id and controlled by role-specific permissions.</w:t>
            </w:r>
          </w:p>
        </w:tc>
      </w:tr>
      <w:tr>
        <w:trPr/>
        <w:tc>
          <w:tcPr>
            <w:tcW w:w="3091" w:type="dxa"/>
            <w:tcBorders/>
            <w:vAlign w:val="center"/>
          </w:tcPr>
          <w:p>
            <w:pPr>
              <w:pStyle w:val="TableContents"/>
              <w:widowControl w:val="false"/>
              <w:suppressLineNumbers/>
              <w:bidi w:val="0"/>
              <w:jc w:val="start"/>
              <w:rPr/>
            </w:pPr>
            <w:r>
              <w:rPr/>
              <w:t>Use MongoDB for QC, certification, and IoT payloads</w:t>
            </w:r>
          </w:p>
        </w:tc>
        <w:tc>
          <w:tcPr>
            <w:tcW w:w="6775" w:type="dxa"/>
            <w:tcBorders/>
            <w:vAlign w:val="center"/>
          </w:tcPr>
          <w:p>
            <w:pPr>
              <w:pStyle w:val="TableContents"/>
              <w:widowControl w:val="false"/>
              <w:suppressLineNumbers/>
              <w:bidi w:val="0"/>
              <w:jc w:val="start"/>
              <w:rPr/>
            </w:pPr>
            <w:r>
              <w:rPr/>
              <w:t>These data domains contain flexible nested fields, varying measurement structures, and high-volume telemetry.</w:t>
            </w:r>
          </w:p>
        </w:tc>
      </w:tr>
    </w:tbl>
    <w:p>
      <w:pPr>
        <w:pStyle w:val="Heading2"/>
        <w:bidi w:val="0"/>
        <w:jc w:val="start"/>
        <w:rPr/>
      </w:pPr>
      <w:r>
        <w:rPr/>
        <w:t>4. Logical Design</w:t>
      </w:r>
    </w:p>
    <w:p>
      <w:pPr>
        <w:pStyle w:val="Heading3"/>
        <w:bidi w:val="0"/>
        <w:jc w:val="start"/>
        <w:rPr/>
      </w:pPr>
      <w:r>
        <w:rPr/>
        <w:t>4.1 Relational Logical Model</w:t>
      </w:r>
    </w:p>
    <w:p>
      <w:pPr>
        <w:pStyle w:val="BodyText"/>
        <w:bidi w:val="0"/>
        <w:jc w:val="start"/>
        <w:rPr/>
      </w:pPr>
      <w:r>
        <w:rPr/>
        <w:t>The relational model is implemented in PostgreSQL. The schema is normalised around master data, transaction data, identity data, and audit data. Primary and foreign keys preserve integrity for suppliers, parts, orders, shipments, users, roles, equipment, and audit events.</w:t>
      </w:r>
    </w:p>
    <w:p>
      <w:pPr>
        <w:pStyle w:val="BodyText"/>
        <w:bidi w:val="0"/>
        <w:jc w:val="start"/>
        <w:rPr/>
      </w:pPr>
      <w:r>
        <w:rPr/>
        <w:drawing>
          <wp:inline distT="0" distB="0" distL="0" distR="0">
            <wp:extent cx="12011025" cy="7458075"/>
            <wp:effectExtent l="0" t="0" r="0" b="0"/>
            <wp:docPr id="2" name="Image2" title="PostgreSQL 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PostgreSQL relational schema"/>
                    <pic:cNvPicPr>
                      <a:picLocks noChangeAspect="1" noChangeArrowheads="1"/>
                    </pic:cNvPicPr>
                  </pic:nvPicPr>
                  <pic:blipFill>
                    <a:blip r:link="rId3"/>
                    <a:stretch>
                      <a:fillRect/>
                    </a:stretch>
                  </pic:blipFill>
                  <pic:spPr bwMode="auto">
                    <a:xfrm>
                      <a:off x="0" y="0"/>
                      <a:ext cx="12011025" cy="7458075"/>
                    </a:xfrm>
                    <a:prstGeom prst="rect">
                      <a:avLst/>
                    </a:prstGeom>
                    <a:noFill/>
                  </pic:spPr>
                </pic:pic>
              </a:graphicData>
            </a:graphic>
          </wp:inline>
        </w:drawing>
      </w:r>
      <w:r>
        <w:rPr/>
        <w:t xml:space="preserve"> </w:t>
      </w:r>
      <w:r>
        <w:rPr/>
        <w:t xml:space="preserve">Figure 2 - PostgreSQL Relational Logical Model </w:t>
      </w:r>
    </w:p>
    <w:p>
      <w:pPr>
        <w:pStyle w:val="Heading3"/>
        <w:bidi w:val="0"/>
        <w:jc w:val="start"/>
        <w:rPr/>
      </w:pPr>
      <w:r>
        <w:rPr/>
        <w:t>4.2 Document Logical Model</w:t>
      </w:r>
    </w:p>
    <w:p>
      <w:pPr>
        <w:pStyle w:val="BodyText"/>
        <w:bidi w:val="0"/>
        <w:jc w:val="start"/>
        <w:rPr/>
      </w:pPr>
      <w:r>
        <w:rPr/>
        <w:t>MongoDB stores the data that changes shape or grows continuously. Documents keep shared IDs from PostgreSQL so the API can combine relational and document records in dashboard responses.</w:t>
      </w:r>
    </w:p>
    <w:p>
      <w:pPr>
        <w:pStyle w:val="BodyText"/>
        <w:bidi w:val="0"/>
        <w:jc w:val="start"/>
        <w:rPr/>
      </w:pPr>
      <w:r>
        <w:rPr/>
        <w:drawing>
          <wp:inline distT="0" distB="0" distL="0" distR="0">
            <wp:extent cx="8124825" cy="7410450"/>
            <wp:effectExtent l="0" t="0" r="0" b="0"/>
            <wp:docPr id="3" name="Image3" title="MongoDB docum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MongoDB document model"/>
                    <pic:cNvPicPr>
                      <a:picLocks noChangeAspect="1" noChangeArrowheads="1"/>
                    </pic:cNvPicPr>
                  </pic:nvPicPr>
                  <pic:blipFill>
                    <a:blip r:link="rId4"/>
                    <a:stretch>
                      <a:fillRect/>
                    </a:stretch>
                  </pic:blipFill>
                  <pic:spPr bwMode="auto">
                    <a:xfrm>
                      <a:off x="0" y="0"/>
                      <a:ext cx="8124825" cy="7410450"/>
                    </a:xfrm>
                    <a:prstGeom prst="rect">
                      <a:avLst/>
                    </a:prstGeom>
                    <a:noFill/>
                  </pic:spPr>
                </pic:pic>
              </a:graphicData>
            </a:graphic>
          </wp:inline>
        </w:drawing>
      </w:r>
      <w:r>
        <w:rPr/>
        <w:t xml:space="preserve"> </w:t>
      </w:r>
      <w:r>
        <w:rPr/>
        <w:t xml:space="preserve">Figure 3 - MongoDB Document Logical Model </w:t>
      </w:r>
    </w:p>
    <w:p>
      <w:pPr>
        <w:pStyle w:val="Heading3"/>
        <w:bidi w:val="0"/>
        <w:jc w:val="start"/>
        <w:rPr/>
      </w:pPr>
      <w:r>
        <w:rPr/>
        <w:t>4.3 Example Document Structures</w:t>
      </w:r>
    </w:p>
    <w:p>
      <w:pPr>
        <w:pStyle w:val="PreformattedText"/>
        <w:bidi w:val="0"/>
        <w:jc w:val="start"/>
        <w:rPr/>
      </w:pPr>
      <w:r>
        <w:rPr/>
        <w:t>{</w:t>
      </w:r>
    </w:p>
    <w:p>
      <w:pPr>
        <w:pStyle w:val="PreformattedText"/>
        <w:bidi w:val="0"/>
        <w:jc w:val="start"/>
        <w:rPr/>
      </w:pPr>
      <w:r>
        <w:rPr/>
        <w:t xml:space="preserve">  </w:t>
      </w:r>
      <w:r>
        <w:rPr/>
        <w:t>"report_id": "QC-2026-00004",</w:t>
      </w:r>
    </w:p>
    <w:p>
      <w:pPr>
        <w:pStyle w:val="PreformattedText"/>
        <w:bidi w:val="0"/>
        <w:jc w:val="start"/>
        <w:rPr/>
      </w:pPr>
      <w:r>
        <w:rPr/>
        <w:t xml:space="preserve">  </w:t>
      </w:r>
      <w:r>
        <w:rPr/>
        <w:t>"order_id": 5002,</w:t>
      </w:r>
    </w:p>
    <w:p>
      <w:pPr>
        <w:pStyle w:val="PreformattedText"/>
        <w:bidi w:val="0"/>
        <w:jc w:val="start"/>
        <w:rPr/>
      </w:pPr>
      <w:r>
        <w:rPr/>
        <w:t xml:space="preserve">  </w:t>
      </w:r>
      <w:r>
        <w:rPr/>
        <w:t>"part_id": 101,</w:t>
      </w:r>
    </w:p>
    <w:p>
      <w:pPr>
        <w:pStyle w:val="PreformattedText"/>
        <w:bidi w:val="0"/>
        <w:jc w:val="start"/>
        <w:rPr/>
      </w:pPr>
      <w:r>
        <w:rPr/>
        <w:t xml:space="preserve">  </w:t>
      </w:r>
      <w:r>
        <w:rPr/>
        <w:t>"supplier_id": 2,</w:t>
      </w:r>
    </w:p>
    <w:p>
      <w:pPr>
        <w:pStyle w:val="PreformattedText"/>
        <w:bidi w:val="0"/>
        <w:jc w:val="start"/>
        <w:rPr/>
      </w:pPr>
      <w:r>
        <w:rPr/>
        <w:t xml:space="preserve">  </w:t>
      </w:r>
      <w:r>
        <w:rPr/>
        <w:t>"inspector_emp_id": 202,</w:t>
      </w:r>
    </w:p>
    <w:p>
      <w:pPr>
        <w:pStyle w:val="PreformattedText"/>
        <w:bidi w:val="0"/>
        <w:jc w:val="start"/>
        <w:rPr/>
      </w:pPr>
      <w:r>
        <w:rPr/>
        <w:t xml:space="preserve">  </w:t>
      </w:r>
      <w:r>
        <w:rPr/>
        <w:t>"report_type": "ndt",</w:t>
      </w:r>
    </w:p>
    <w:p>
      <w:pPr>
        <w:pStyle w:val="PreformattedText"/>
        <w:bidi w:val="0"/>
        <w:jc w:val="start"/>
        <w:rPr/>
      </w:pPr>
      <w:r>
        <w:rPr/>
        <w:t xml:space="preserve">  </w:t>
      </w:r>
      <w:r>
        <w:rPr/>
        <w:t>"outcome": "FAIL",</w:t>
      </w:r>
    </w:p>
    <w:p>
      <w:pPr>
        <w:pStyle w:val="PreformattedText"/>
        <w:bidi w:val="0"/>
        <w:jc w:val="start"/>
        <w:rPr/>
      </w:pPr>
      <w:r>
        <w:rPr/>
        <w:t xml:space="preserve">  </w:t>
      </w:r>
      <w:r>
        <w:rPr/>
        <w:t>"result_data": {</w:t>
      </w:r>
    </w:p>
    <w:p>
      <w:pPr>
        <w:pStyle w:val="PreformattedText"/>
        <w:bidi w:val="0"/>
        <w:jc w:val="start"/>
        <w:rPr/>
      </w:pPr>
      <w:r>
        <w:rPr/>
        <w:t xml:space="preserve">    </w:t>
      </w:r>
      <w:r>
        <w:rPr/>
        <w:t>"ndt_method": "ultrasonic",</w:t>
      </w:r>
    </w:p>
    <w:p>
      <w:pPr>
        <w:pStyle w:val="PreformattedText"/>
        <w:bidi w:val="0"/>
        <w:jc w:val="start"/>
        <w:rPr/>
      </w:pPr>
      <w:r>
        <w:rPr/>
        <w:t xml:space="preserve">    </w:t>
      </w:r>
      <w:r>
        <w:rPr/>
        <w:t>"defects_found": true,</w:t>
      </w:r>
    </w:p>
    <w:p>
      <w:pPr>
        <w:pStyle w:val="PreformattedText"/>
        <w:bidi w:val="0"/>
        <w:jc w:val="start"/>
        <w:rPr/>
      </w:pPr>
      <w:r>
        <w:rPr/>
        <w:t xml:space="preserve">    </w:t>
      </w:r>
      <w:r>
        <w:rPr/>
        <w:t>"failure_cause": "Retest confirms edge delamination"</w:t>
      </w:r>
    </w:p>
    <w:p>
      <w:pPr>
        <w:pStyle w:val="PreformattedText"/>
        <w:bidi w:val="0"/>
        <w:jc w:val="start"/>
        <w:rPr/>
      </w:pPr>
      <w:r>
        <w:rPr/>
        <w:t xml:space="preserve">  </w:t>
      </w:r>
      <w:r>
        <w:rPr/>
        <w:t>},</w:t>
      </w:r>
    </w:p>
    <w:p>
      <w:pPr>
        <w:pStyle w:val="PreformattedText"/>
        <w:bidi w:val="0"/>
        <w:jc w:val="start"/>
        <w:rPr/>
      </w:pPr>
      <w:r>
        <w:rPr/>
        <w:t xml:space="preserve">  </w:t>
      </w:r>
      <w:r>
        <w:rPr/>
        <w:t>"version": 2,</w:t>
      </w:r>
    </w:p>
    <w:p>
      <w:pPr>
        <w:pStyle w:val="PreformattedText"/>
        <w:bidi w:val="0"/>
        <w:jc w:val="start"/>
        <w:rPr/>
      </w:pPr>
      <w:r>
        <w:rPr/>
        <w:t xml:space="preserve">  </w:t>
      </w:r>
      <w:r>
        <w:rPr/>
        <w:t>"is_approved": false</w:t>
      </w:r>
    </w:p>
    <w:p>
      <w:pPr>
        <w:pStyle w:val="PreformattedText"/>
        <w:bidi w:val="0"/>
        <w:spacing w:before="0" w:after="283"/>
        <w:jc w:val="start"/>
        <w:rPr/>
      </w:pPr>
      <w:r>
        <w:rPr/>
        <w:t>}</w:t>
      </w:r>
    </w:p>
    <w:p>
      <w:pPr>
        <w:pStyle w:val="PreformattedText"/>
        <w:bidi w:val="0"/>
        <w:jc w:val="start"/>
        <w:rPr/>
      </w:pPr>
      <w:r>
        <w:rPr/>
        <w:t>{</w:t>
      </w:r>
    </w:p>
    <w:p>
      <w:pPr>
        <w:pStyle w:val="PreformattedText"/>
        <w:bidi w:val="0"/>
        <w:jc w:val="start"/>
        <w:rPr/>
      </w:pPr>
      <w:r>
        <w:rPr/>
        <w:t xml:space="preserve">  </w:t>
      </w:r>
      <w:r>
        <w:rPr/>
        <w:t>"cert_id": "CERT-2026-00003",</w:t>
      </w:r>
    </w:p>
    <w:p>
      <w:pPr>
        <w:pStyle w:val="PreformattedText"/>
        <w:bidi w:val="0"/>
        <w:jc w:val="start"/>
        <w:rPr/>
      </w:pPr>
      <w:r>
        <w:rPr/>
        <w:t xml:space="preserve">  </w:t>
      </w:r>
      <w:r>
        <w:rPr/>
        <w:t>"part_id": 104,</w:t>
      </w:r>
    </w:p>
    <w:p>
      <w:pPr>
        <w:pStyle w:val="PreformattedText"/>
        <w:bidi w:val="0"/>
        <w:jc w:val="start"/>
        <w:rPr/>
      </w:pPr>
      <w:r>
        <w:rPr/>
        <w:t xml:space="preserve">  </w:t>
      </w:r>
      <w:r>
        <w:rPr/>
        <w:t>"supplier_id": 4,</w:t>
      </w:r>
    </w:p>
    <w:p>
      <w:pPr>
        <w:pStyle w:val="PreformattedText"/>
        <w:bidi w:val="0"/>
        <w:jc w:val="start"/>
        <w:rPr/>
      </w:pPr>
      <w:r>
        <w:rPr/>
        <w:t xml:space="preserve">  </w:t>
      </w:r>
      <w:r>
        <w:rPr/>
        <w:t>"inspector_emp_id": 202,</w:t>
      </w:r>
    </w:p>
    <w:p>
      <w:pPr>
        <w:pStyle w:val="PreformattedText"/>
        <w:bidi w:val="0"/>
        <w:jc w:val="start"/>
        <w:rPr/>
      </w:pPr>
      <w:r>
        <w:rPr/>
        <w:t xml:space="preserve">  </w:t>
      </w:r>
      <w:r>
        <w:rPr/>
        <w:t>"test_results": { "thermal_cycle": "PASS", "seal_integrity": "PENDING" },</w:t>
      </w:r>
    </w:p>
    <w:p>
      <w:pPr>
        <w:pStyle w:val="PreformattedText"/>
        <w:bidi w:val="0"/>
        <w:jc w:val="start"/>
        <w:rPr/>
      </w:pPr>
      <w:r>
        <w:rPr/>
        <w:t xml:space="preserve">  </w:t>
      </w:r>
      <w:r>
        <w:rPr/>
        <w:t>"batch_origin": "Batch-PAF-2026-21",</w:t>
      </w:r>
    </w:p>
    <w:p>
      <w:pPr>
        <w:pStyle w:val="PreformattedText"/>
        <w:bidi w:val="0"/>
        <w:jc w:val="start"/>
        <w:rPr/>
      </w:pPr>
      <w:r>
        <w:rPr/>
        <w:t xml:space="preserve">  </w:t>
      </w:r>
      <w:r>
        <w:rPr/>
        <w:t>"digital_signature": "SHA256:pending",</w:t>
      </w:r>
    </w:p>
    <w:p>
      <w:pPr>
        <w:pStyle w:val="PreformattedText"/>
        <w:bidi w:val="0"/>
        <w:jc w:val="start"/>
        <w:rPr/>
      </w:pPr>
      <w:r>
        <w:rPr/>
        <w:t xml:space="preserve">  </w:t>
      </w:r>
      <w:r>
        <w:rPr/>
        <w:t>"is_immutable": false</w:t>
      </w:r>
    </w:p>
    <w:p>
      <w:pPr>
        <w:pStyle w:val="PreformattedText"/>
        <w:bidi w:val="0"/>
        <w:spacing w:before="0" w:after="283"/>
        <w:jc w:val="start"/>
        <w:rPr/>
      </w:pPr>
      <w:r>
        <w:rPr/>
        <w:t>}</w:t>
      </w:r>
    </w:p>
    <w:p>
      <w:pPr>
        <w:pStyle w:val="Heading3"/>
        <w:bidi w:val="0"/>
        <w:jc w:val="start"/>
        <w:rPr/>
      </w:pPr>
      <w:r>
        <w:rPr/>
        <w:t>4.4 Cross-Database Consistency</w:t>
      </w:r>
    </w:p>
    <w:p>
      <w:pPr>
        <w:pStyle w:val="BodyText"/>
        <w:bidi w:val="0"/>
        <w:jc w:val="start"/>
        <w:rPr/>
      </w:pPr>
      <w:r>
        <w:rPr/>
        <w:t>PostgreSQL is the authoritative source for stable identifiers and relational integrity. MongoDB documents store those identifiers as logical references. The API checks relational records before creating QC reports, certifications, or IoT logs. Certification immutability and QC versioning are enforced in the backend service so the dashboard cannot bypass the rule.</w:t>
      </w:r>
    </w:p>
    <w:p>
      <w:pPr>
        <w:pStyle w:val="Heading2"/>
        <w:bidi w:val="0"/>
        <w:jc w:val="start"/>
        <w:rPr/>
      </w:pPr>
      <w:r>
        <w:rPr/>
        <w:t>5. Conclusion</w:t>
      </w:r>
    </w:p>
    <w:p>
      <w:pPr>
        <w:pStyle w:val="BodyText"/>
        <w:bidi w:val="0"/>
        <w:jc w:val="start"/>
        <w:rPr/>
      </w:pPr>
      <w:r>
        <w:rPr/>
        <w:t>The final design satisfies the AeroNetB scenario by combining a normalised PostgreSQL schema with flexible MongoDB document collections. The model supports supplier-part variability, order and shipment lifecycle tracking, quality reporting, certification traceability, IoT monitoring, RBAC, and audit logging. The design also maps directly to the implemented Node.js API and dashboard used in the D-II submission.</w:t>
      </w:r>
    </w:p>
    <w:p>
      <w:pPr>
        <w:pStyle w:val="Heading2"/>
        <w:bidi w:val="0"/>
        <w:jc w:val="start"/>
        <w:rPr/>
      </w:pPr>
      <w:r>
        <w:rPr/>
        <w:t>References</w:t>
      </w:r>
    </w:p>
    <w:p>
      <w:pPr>
        <w:pStyle w:val="BodyText"/>
        <w:bidi w:val="0"/>
        <w:jc w:val="start"/>
        <w:rPr/>
      </w:pPr>
      <w:r>
        <w:rPr/>
        <w:t xml:space="preserve">Connolly, T. and Begg, C. (2015) </w:t>
      </w:r>
      <w:r>
        <w:rPr>
          <w:rStyle w:val="Emphasis"/>
        </w:rPr>
        <w:t>Database Systems: A Practical Approach to Design, Implementation and Management</w:t>
      </w:r>
      <w:r>
        <w:rPr/>
        <w:t>. 6th edn. Harlow: Pearson.</w:t>
      </w:r>
    </w:p>
    <w:p>
      <w:pPr>
        <w:pStyle w:val="BodyText"/>
        <w:bidi w:val="0"/>
        <w:jc w:val="start"/>
        <w:rPr/>
      </w:pPr>
      <w:r>
        <w:rPr/>
        <w:t xml:space="preserve">Fowler, M. and Sadalage, P.J. (2012) </w:t>
      </w:r>
      <w:r>
        <w:rPr>
          <w:rStyle w:val="Emphasis"/>
        </w:rPr>
        <w:t>NoSQL Distilled: A Brief Guide to the Emerging World of Polyglot Persistence</w:t>
      </w:r>
      <w:r>
        <w:rPr/>
        <w:t>. Addison-Wesley.</w:t>
      </w:r>
    </w:p>
    <w:p>
      <w:pPr>
        <w:pStyle w:val="BodyText"/>
        <w:bidi w:val="0"/>
        <w:jc w:val="start"/>
        <w:rPr/>
      </w:pPr>
      <w:r>
        <w:rPr/>
        <w:t xml:space="preserve">MongoDB, Inc. (2024) </w:t>
      </w:r>
      <w:r>
        <w:rPr>
          <w:rStyle w:val="Emphasis"/>
        </w:rPr>
        <w:t>MongoDB Documentation</w:t>
      </w:r>
      <w:r>
        <w:rPr/>
        <w:t>. Available at: https://www.mongodb.com/docs/</w:t>
      </w:r>
    </w:p>
    <w:p>
      <w:pPr>
        <w:pStyle w:val="BodyText"/>
        <w:bidi w:val="0"/>
        <w:jc w:val="start"/>
        <w:rPr/>
      </w:pPr>
      <w:r>
        <w:rPr/>
        <w:t xml:space="preserve">PostgreSQL Global Development Group (2024) </w:t>
      </w:r>
      <w:r>
        <w:rPr>
          <w:rStyle w:val="Emphasis"/>
        </w:rPr>
        <w:t>PostgreSQL Documentation</w:t>
      </w:r>
      <w:r>
        <w:rPr/>
        <w:t>. Available at: https://www.postgresql.org/docs/</w:t>
      </w:r>
    </w:p>
    <w:p>
      <w:pPr>
        <w:pStyle w:val="BodyText"/>
        <w:bidi w:val="0"/>
        <w:spacing w:before="0" w:after="140"/>
        <w:jc w:val="start"/>
        <w:rPr/>
      </w:pPr>
      <w:r>
        <w:rPr/>
        <w:t>Sandhu, R., Ferraiolo, D. and Kuhn, R. (2000) The NIST Model for Role-Based Access Control.</w:t>
      </w:r>
    </w:p>
    <w:sectPr>
      <w:type w:val="nextPage"/>
      <w:pgSz w:w="11906" w:h="16838"/>
      <w:pgMar w:left="1020" w:right="1020" w:gutter="0" w:header="0" w:top="1020"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7202A"/>
      <w:sz w:val="24"/>
      <w:szCs w:val="24"/>
      <w:lang w:val="en-US" w:eastAsia="zh-CN" w:bidi="hi-IN"/>
    </w:rPr>
  </w:style>
  <w:style w:type="paragraph" w:styleId="Heading1">
    <w:name w:val="heading 1"/>
    <w:basedOn w:val="Heading"/>
    <w:next w:val="BodyText"/>
    <w:qFormat/>
    <w:pPr>
      <w:keepNext w:val="true"/>
      <w:spacing w:before="240" w:after="120"/>
      <w:outlineLvl w:val="0"/>
    </w:pPr>
    <w:rPr>
      <w:rFonts w:ascii="Liberation Serif" w:hAnsi="Liberation Serif" w:eastAsia="Noto Serif CJK SC" w:cs="Noto Sans Devanagari"/>
      <w:b/>
      <w:bCs/>
      <w:color w:val="111827"/>
      <w:sz w:val="48"/>
      <w:szCs w:val="48"/>
    </w:rPr>
  </w:style>
  <w:style w:type="paragraph" w:styleId="Heading2">
    <w:name w:val="heading 2"/>
    <w:basedOn w:val="Heading"/>
    <w:next w:val="BodyText"/>
    <w:qFormat/>
    <w:pPr>
      <w:keepNext w:val="true"/>
      <w:pBdr>
        <w:bottom w:val="single" w:sz="2" w:space="3" w:color="D7DDE5"/>
      </w:pBdr>
      <w:spacing w:before="390" w:after="120"/>
      <w:outlineLvl w:val="1"/>
    </w:pPr>
    <w:rPr>
      <w:rFonts w:ascii="Liberation Serif" w:hAnsi="Liberation Serif" w:eastAsia="Noto Serif CJK SC" w:cs="Noto Sans Devanagari"/>
      <w:b/>
      <w:bCs/>
      <w:color w:val="111827"/>
      <w:sz w:val="32"/>
      <w:szCs w:val="32"/>
    </w:rPr>
  </w:style>
  <w:style w:type="paragraph" w:styleId="Heading3">
    <w:name w:val="heading 3"/>
    <w:basedOn w:val="Heading"/>
    <w:next w:val="BodyText"/>
    <w:qFormat/>
    <w:pPr>
      <w:keepNext w:val="true"/>
      <w:spacing w:before="270" w:after="120"/>
      <w:outlineLvl w:val="2"/>
    </w:pPr>
    <w:rPr>
      <w:rFonts w:ascii="Liberation Serif" w:hAnsi="Liberation Serif" w:eastAsia="Noto Serif CJK SC" w:cs="Noto Sans Devanagari"/>
      <w:b/>
      <w:bCs/>
      <w:color w:val="111827"/>
      <w:sz w:val="26"/>
      <w:szCs w:val="26"/>
    </w:rPr>
  </w:style>
  <w:style w:type="character" w:styleId="SourceText">
    <w:name w:val="Source Text"/>
    <w:qFormat/>
    <w:rPr>
      <w:rFonts w:ascii="Consolas;monospace" w:hAnsi="Consolas;monospace" w:eastAsia="Consolas;monospace" w:cs="Consolas;monospace"/>
      <w:sz w:val="18"/>
      <w:szCs w:val="18"/>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8" w:color="D7DDE5"/>
        <w:left w:val="single" w:sz="2" w:space="8" w:color="D7DDE5"/>
        <w:bottom w:val="single" w:sz="2" w:space="8" w:color="D7DDE5"/>
        <w:right w:val="single" w:sz="2" w:space="8" w:color="D7DDE5"/>
      </w:pBdr>
      <w:shd w:fill="F8FAFC" w:val="clea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F2F6"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spyros/OneDrive/Documents/College/Data%20Driven%20Systems/aeronetb-ascm-dashboard/docs/assets/conceptual-er.png" TargetMode="External"/><Relationship Id="rId3" Type="http://schemas.openxmlformats.org/officeDocument/2006/relationships/image" Target="file:///home/spyros/OneDrive/Documents/College/Data%20Driven%20Systems/aeronetb-ascm-dashboard/docs/assets/relational-schema.png" TargetMode="External"/><Relationship Id="rId4" Type="http://schemas.openxmlformats.org/officeDocument/2006/relationships/image" Target="file:///home/spyros/OneDrive/Documents/College/Data%20Driven%20Systems/aeronetb-ascm-dashboard/docs/assets/mongodb-document-model.png"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100774175 DDD - AeroNetB ASCM</dc:title>
</cp:coreProperties>
</file>

<file path=docProps/custom.xml><?xml version="1.0" encoding="utf-8"?>
<Properties xmlns="http://schemas.openxmlformats.org/officeDocument/2006/custom-properties" xmlns:vt="http://schemas.openxmlformats.org/officeDocument/2006/docPropsVTypes"/>
</file>