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Pitch: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Hook: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Waste valorisation (numbers).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cities &amp; urbanisation &amp; huge drive to build new houses in the UK (help to buy scheme and local councils).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Sustainability. Recyclability (lack in cement and gypsum boards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mainly from construction sites) + cambond (biodegradability). Carbon footprint numbers (-40%).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Low temperature firing process.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Removes the need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 toxic coatings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 need for coatings (curing)) compared to processed wood panels.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Low cost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(very competitive in price) 3.50 for a 12 mm board compared (class B average for competitors of the same thickness).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95525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Rigid boards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(innovative bioresin improves the binding strength of the boards).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Mention scalability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mention impressive partnerships (SAPPI) &amp; manufacturing facilities (capacity)?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Echo: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Journey (circular economy).</w:t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157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V/u/PuEQBXPNXrkSTa8jMz88g==">AMUW2mVN+oqZYGmwlK8k3uCUSALW7m3RhqqsSKVc3FHgH8ebnEFU3mWKxDI8/PnGpj4P2Gr7iqIZN50UcA3Un0QIDDhlBFAwT2AiuQhN+7Cjaye+jRKC1wc=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2021-02-24T19:54:00Z</dcterms:created>
  <dc:creator>Spyros Ploussiou</dc:creator>
</cp:coreProperties>
</file>