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Things to consider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divide our efforts into </w:t>
      </w:r>
      <w:r w:rsidDel="00000000" w:rsidR="00000000" w:rsidRPr="00000000">
        <w:rPr>
          <w:b w:val="1"/>
          <w:rtl w:val="0"/>
        </w:rPr>
        <w:t xml:space="preserve">gypsum-based boards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cement-based boards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characteristics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needed to meet UK flame retardant specifications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 segmentation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Pricing strategy of competitors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considerations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primary research - builders merchants, quantity surveyors 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criteria for selecting a product - regulatory requirements, pricing, customer requirements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Residential vs commercial segmentation - demand forecasting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Focus only on the UK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Spyros: Cement-based boards and residential vs commercial segmentation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Elena: Regulatory perspective of flame retardant boards (do any regulations change because of the Brexit; are there differences across GB/UK?) + supplement product characteristic research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Omar: Pricing strategy of competitors, primary research questions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Akhila: Market analysis, IP considerations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Potential points for next time (7th January, 7pm):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on business model canvas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SWOT analysis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