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4C939" w14:textId="3FC9CE31" w:rsidR="00E26B14" w:rsidRPr="00E26B14" w:rsidRDefault="00E26B14" w:rsidP="003B4A6B">
      <w:pPr>
        <w:jc w:val="center"/>
        <w:rPr>
          <w:rFonts w:ascii="Arial" w:hAnsi="Arial" w:cs="Arial"/>
          <w:sz w:val="32"/>
          <w:szCs w:val="32"/>
        </w:rPr>
      </w:pPr>
      <w:r w:rsidRPr="00E26B14">
        <w:rPr>
          <w:rFonts w:ascii="Arial" w:hAnsi="Arial" w:cs="Arial"/>
          <w:sz w:val="32"/>
          <w:szCs w:val="32"/>
        </w:rPr>
        <w:t>CM50266 Applied Data Science 2020-2021</w:t>
      </w:r>
    </w:p>
    <w:p w14:paraId="238B3CD6" w14:textId="3BF80B63" w:rsidR="00E26B14" w:rsidRPr="00E26B14" w:rsidRDefault="00E26B14" w:rsidP="003B4A6B">
      <w:pPr>
        <w:jc w:val="center"/>
        <w:rPr>
          <w:rFonts w:ascii="Arial" w:hAnsi="Arial" w:cs="Arial"/>
          <w:sz w:val="32"/>
          <w:szCs w:val="32"/>
        </w:rPr>
      </w:pPr>
      <w:r w:rsidRPr="00E26B14">
        <w:rPr>
          <w:rFonts w:ascii="Arial" w:hAnsi="Arial" w:cs="Arial"/>
          <w:sz w:val="32"/>
          <w:szCs w:val="32"/>
        </w:rPr>
        <w:t>Case Study 1 – Data Protection</w:t>
      </w:r>
    </w:p>
    <w:p w14:paraId="24ACDA25" w14:textId="77777777" w:rsidR="002B0F41" w:rsidRDefault="002B0F41" w:rsidP="003B4A6B">
      <w:pPr>
        <w:tabs>
          <w:tab w:val="left" w:pos="1215"/>
        </w:tabs>
        <w:jc w:val="both"/>
        <w:rPr>
          <w:rFonts w:ascii="Arial" w:hAnsi="Arial" w:cs="Arial"/>
        </w:rPr>
      </w:pPr>
    </w:p>
    <w:p w14:paraId="48CE18AD" w14:textId="62D784AA" w:rsidR="00C40D08" w:rsidRDefault="00C40D08" w:rsidP="003B4A6B">
      <w:pPr>
        <w:tabs>
          <w:tab w:val="left" w:pos="1215"/>
        </w:tabs>
        <w:jc w:val="both"/>
        <w:rPr>
          <w:rFonts w:ascii="Arial" w:hAnsi="Arial" w:cs="Arial"/>
        </w:rPr>
      </w:pPr>
      <w:r>
        <w:rPr>
          <w:rFonts w:ascii="Arial" w:hAnsi="Arial" w:cs="Arial"/>
        </w:rPr>
        <w:t>Q1.</w:t>
      </w:r>
    </w:p>
    <w:p w14:paraId="770FE8CF" w14:textId="77777777" w:rsidR="00E41013" w:rsidRDefault="004C3079" w:rsidP="00EE0E18">
      <w:pPr>
        <w:tabs>
          <w:tab w:val="left" w:pos="1215"/>
        </w:tabs>
        <w:jc w:val="both"/>
        <w:rPr>
          <w:rFonts w:ascii="Arial" w:hAnsi="Arial" w:cs="Arial"/>
        </w:rPr>
      </w:pPr>
      <w:r>
        <w:rPr>
          <w:rFonts w:ascii="Arial" w:hAnsi="Arial" w:cs="Arial"/>
        </w:rPr>
        <w:t xml:space="preserve">The </w:t>
      </w:r>
      <w:r w:rsidR="00AE1CFE" w:rsidRPr="004C3079">
        <w:rPr>
          <w:rFonts w:ascii="Arial" w:hAnsi="Arial" w:cs="Arial"/>
        </w:rPr>
        <w:t>GDPR</w:t>
      </w:r>
      <w:r w:rsidR="00AE1CFE">
        <w:rPr>
          <w:rFonts w:ascii="Arial" w:hAnsi="Arial" w:cs="Arial"/>
        </w:rPr>
        <w:t xml:space="preserve">  includes six </w:t>
      </w:r>
      <w:r w:rsidRPr="004C3079">
        <w:rPr>
          <w:rFonts w:ascii="Arial" w:hAnsi="Arial" w:cs="Arial"/>
        </w:rPr>
        <w:t xml:space="preserve">data privacy principles </w:t>
      </w:r>
      <w:r w:rsidR="00AE1CFE">
        <w:rPr>
          <w:rFonts w:ascii="Arial" w:hAnsi="Arial" w:cs="Arial"/>
        </w:rPr>
        <w:t>that should be followed when handling</w:t>
      </w:r>
      <w:r w:rsidR="004B475A">
        <w:rPr>
          <w:rFonts w:ascii="Arial" w:hAnsi="Arial" w:cs="Arial"/>
        </w:rPr>
        <w:t xml:space="preserve"> personal data</w:t>
      </w:r>
      <w:r w:rsidR="005B7117" w:rsidRPr="005B7117">
        <w:rPr>
          <w:rFonts w:ascii="Arial" w:hAnsi="Arial" w:cs="Arial"/>
          <w:vertAlign w:val="superscript"/>
        </w:rPr>
        <w:t>[1]</w:t>
      </w:r>
      <w:r w:rsidR="00AE1CFE">
        <w:rPr>
          <w:rFonts w:ascii="Arial" w:hAnsi="Arial" w:cs="Arial"/>
        </w:rPr>
        <w:t xml:space="preserve">. </w:t>
      </w:r>
    </w:p>
    <w:p w14:paraId="515E7F9D" w14:textId="77777777" w:rsidR="00E41013" w:rsidRDefault="00AE1CFE" w:rsidP="00EE0E18">
      <w:pPr>
        <w:tabs>
          <w:tab w:val="left" w:pos="1215"/>
        </w:tabs>
        <w:jc w:val="both"/>
        <w:rPr>
          <w:rFonts w:ascii="Arial" w:hAnsi="Arial" w:cs="Arial"/>
        </w:rPr>
      </w:pPr>
      <w:r>
        <w:rPr>
          <w:rFonts w:ascii="Arial" w:hAnsi="Arial" w:cs="Arial"/>
        </w:rPr>
        <w:t xml:space="preserve">Firstly, we have </w:t>
      </w:r>
      <w:r w:rsidRPr="00AE1CFE">
        <w:rPr>
          <w:rFonts w:ascii="Arial" w:hAnsi="Arial" w:cs="Arial"/>
          <w:b/>
          <w:bCs/>
        </w:rPr>
        <w:t xml:space="preserve">Lawfulness, Fairness and </w:t>
      </w:r>
      <w:r w:rsidRPr="00F23FB2">
        <w:rPr>
          <w:rFonts w:ascii="Arial" w:hAnsi="Arial" w:cs="Arial"/>
          <w:b/>
          <w:bCs/>
        </w:rPr>
        <w:t>Transparency</w:t>
      </w:r>
      <w:r w:rsidR="00F23FB2">
        <w:rPr>
          <w:rFonts w:ascii="Arial" w:hAnsi="Arial" w:cs="Arial"/>
        </w:rPr>
        <w:t>, as p</w:t>
      </w:r>
      <w:r w:rsidR="00F23FB2" w:rsidRPr="00F23FB2">
        <w:rPr>
          <w:rFonts w:ascii="Arial" w:hAnsi="Arial" w:cs="Arial"/>
        </w:rPr>
        <w:t>ersonal</w:t>
      </w:r>
      <w:r w:rsidR="00F23FB2">
        <w:rPr>
          <w:rFonts w:ascii="Arial" w:hAnsi="Arial" w:cs="Arial"/>
        </w:rPr>
        <w:t xml:space="preserve"> d</w:t>
      </w:r>
      <w:r>
        <w:rPr>
          <w:rFonts w:ascii="Arial" w:hAnsi="Arial" w:cs="Arial"/>
        </w:rPr>
        <w:t>ata</w:t>
      </w:r>
      <w:r w:rsidR="004B475A">
        <w:rPr>
          <w:rFonts w:ascii="Arial" w:hAnsi="Arial" w:cs="Arial"/>
        </w:rPr>
        <w:t xml:space="preserve"> </w:t>
      </w:r>
      <w:r w:rsidR="00F23FB2">
        <w:rPr>
          <w:rFonts w:ascii="Arial" w:hAnsi="Arial" w:cs="Arial"/>
        </w:rPr>
        <w:t>must always</w:t>
      </w:r>
      <w:r w:rsidR="004B475A">
        <w:rPr>
          <w:rFonts w:ascii="Arial" w:hAnsi="Arial" w:cs="Arial"/>
        </w:rPr>
        <w:t xml:space="preserve"> be processed lawfully, </w:t>
      </w:r>
      <w:r w:rsidR="00C41D72">
        <w:rPr>
          <w:rFonts w:ascii="Arial" w:hAnsi="Arial" w:cs="Arial"/>
        </w:rPr>
        <w:t>fairly,</w:t>
      </w:r>
      <w:r w:rsidR="004B475A">
        <w:rPr>
          <w:rFonts w:ascii="Arial" w:hAnsi="Arial" w:cs="Arial"/>
        </w:rPr>
        <w:t xml:space="preserve"> and </w:t>
      </w:r>
      <w:r w:rsidR="00BD5C82">
        <w:rPr>
          <w:rFonts w:ascii="Arial" w:hAnsi="Arial" w:cs="Arial"/>
        </w:rPr>
        <w:t>the</w:t>
      </w:r>
      <w:r w:rsidR="00F23FB2">
        <w:rPr>
          <w:rFonts w:ascii="Arial" w:hAnsi="Arial" w:cs="Arial"/>
        </w:rPr>
        <w:t xml:space="preserve"> intent of the how the data </w:t>
      </w:r>
      <w:r w:rsidR="00BD5C82">
        <w:rPr>
          <w:rFonts w:ascii="Arial" w:hAnsi="Arial" w:cs="Arial"/>
        </w:rPr>
        <w:t xml:space="preserve">will </w:t>
      </w:r>
      <w:r w:rsidR="00F23FB2">
        <w:rPr>
          <w:rFonts w:ascii="Arial" w:hAnsi="Arial" w:cs="Arial"/>
        </w:rPr>
        <w:t>be used</w:t>
      </w:r>
      <w:r w:rsidR="000F0D15">
        <w:rPr>
          <w:rFonts w:ascii="Arial" w:hAnsi="Arial" w:cs="Arial"/>
        </w:rPr>
        <w:t xml:space="preserve"> should always</w:t>
      </w:r>
      <w:r w:rsidR="00F23FB2">
        <w:rPr>
          <w:rFonts w:ascii="Arial" w:hAnsi="Arial" w:cs="Arial"/>
        </w:rPr>
        <w:t xml:space="preserve"> be transparent</w:t>
      </w:r>
      <w:r w:rsidR="004B475A">
        <w:rPr>
          <w:rFonts w:ascii="Arial" w:hAnsi="Arial" w:cs="Arial"/>
        </w:rPr>
        <w:t xml:space="preserve">. </w:t>
      </w:r>
    </w:p>
    <w:p w14:paraId="47E17FCB" w14:textId="77777777" w:rsidR="00E41013" w:rsidRDefault="00F23FB2" w:rsidP="00EE0E18">
      <w:pPr>
        <w:tabs>
          <w:tab w:val="left" w:pos="1215"/>
        </w:tabs>
        <w:jc w:val="both"/>
        <w:rPr>
          <w:rFonts w:ascii="Arial" w:hAnsi="Arial" w:cs="Arial"/>
        </w:rPr>
      </w:pPr>
      <w:r>
        <w:rPr>
          <w:rFonts w:ascii="Arial" w:hAnsi="Arial" w:cs="Arial"/>
        </w:rPr>
        <w:t>Furthermore</w:t>
      </w:r>
      <w:r w:rsidR="004B475A">
        <w:rPr>
          <w:rFonts w:ascii="Arial" w:hAnsi="Arial" w:cs="Arial"/>
        </w:rPr>
        <w:t>,</w:t>
      </w:r>
      <w:r>
        <w:rPr>
          <w:rFonts w:ascii="Arial" w:hAnsi="Arial" w:cs="Arial"/>
        </w:rPr>
        <w:t xml:space="preserve"> we have </w:t>
      </w:r>
      <w:r w:rsidR="004B475A">
        <w:rPr>
          <w:rFonts w:ascii="Arial" w:hAnsi="Arial" w:cs="Arial"/>
        </w:rPr>
        <w:t xml:space="preserve"> </w:t>
      </w:r>
      <w:r w:rsidRPr="00F23FB2">
        <w:rPr>
          <w:rFonts w:ascii="Arial" w:hAnsi="Arial" w:cs="Arial"/>
          <w:b/>
          <w:bCs/>
        </w:rPr>
        <w:t>Purpose Limitation</w:t>
      </w:r>
      <w:r w:rsidRPr="00F23FB2">
        <w:rPr>
          <w:rFonts w:ascii="Arial" w:hAnsi="Arial" w:cs="Arial"/>
        </w:rPr>
        <w:t xml:space="preserve"> </w:t>
      </w:r>
      <w:r>
        <w:rPr>
          <w:rFonts w:ascii="Arial" w:hAnsi="Arial" w:cs="Arial"/>
        </w:rPr>
        <w:t xml:space="preserve">where </w:t>
      </w:r>
      <w:r w:rsidR="004B475A">
        <w:rPr>
          <w:rFonts w:ascii="Arial" w:hAnsi="Arial" w:cs="Arial"/>
        </w:rPr>
        <w:t>the purpose of storing personal data should be clearly stated</w:t>
      </w:r>
      <w:r w:rsidR="00FA16A9">
        <w:rPr>
          <w:rFonts w:ascii="Arial" w:hAnsi="Arial" w:cs="Arial"/>
        </w:rPr>
        <w:t>,</w:t>
      </w:r>
      <w:r w:rsidR="004B475A">
        <w:rPr>
          <w:rFonts w:ascii="Arial" w:hAnsi="Arial" w:cs="Arial"/>
        </w:rPr>
        <w:t xml:space="preserve"> </w:t>
      </w:r>
      <w:r w:rsidR="00FA16A9">
        <w:rPr>
          <w:rFonts w:ascii="Arial" w:hAnsi="Arial" w:cs="Arial"/>
        </w:rPr>
        <w:t>p</w:t>
      </w:r>
      <w:r>
        <w:rPr>
          <w:rFonts w:ascii="Arial" w:hAnsi="Arial" w:cs="Arial"/>
        </w:rPr>
        <w:t xml:space="preserve">roviding that the explicit reasons are </w:t>
      </w:r>
      <w:r w:rsidR="00C41D72">
        <w:rPr>
          <w:rFonts w:ascii="Arial" w:hAnsi="Arial" w:cs="Arial"/>
        </w:rPr>
        <w:t>legitimate</w:t>
      </w:r>
      <w:r w:rsidR="005D3691">
        <w:rPr>
          <w:rFonts w:ascii="Arial" w:hAnsi="Arial" w:cs="Arial"/>
        </w:rPr>
        <w:t xml:space="preserve"> and</w:t>
      </w:r>
      <w:r w:rsidR="004B475A">
        <w:rPr>
          <w:rFonts w:ascii="Arial" w:hAnsi="Arial" w:cs="Arial"/>
        </w:rPr>
        <w:t xml:space="preserve"> keeping the data for as long as necessary.</w:t>
      </w:r>
      <w:r w:rsidR="00C41D72">
        <w:rPr>
          <w:rFonts w:ascii="Arial" w:hAnsi="Arial" w:cs="Arial"/>
        </w:rPr>
        <w:t xml:space="preserve"> </w:t>
      </w:r>
    </w:p>
    <w:p w14:paraId="0AEF9964" w14:textId="77777777" w:rsidR="00E41013" w:rsidRDefault="00237C3E" w:rsidP="00EE0E18">
      <w:pPr>
        <w:tabs>
          <w:tab w:val="left" w:pos="1215"/>
        </w:tabs>
        <w:jc w:val="both"/>
        <w:rPr>
          <w:rFonts w:ascii="Arial" w:hAnsi="Arial" w:cs="Arial"/>
        </w:rPr>
      </w:pPr>
      <w:r>
        <w:rPr>
          <w:rFonts w:ascii="Arial" w:hAnsi="Arial" w:cs="Arial"/>
        </w:rPr>
        <w:t xml:space="preserve">Additionally, we have </w:t>
      </w:r>
      <w:r w:rsidRPr="00237C3E">
        <w:rPr>
          <w:rFonts w:ascii="Arial" w:hAnsi="Arial" w:cs="Arial"/>
          <w:b/>
          <w:bCs/>
        </w:rPr>
        <w:t>Data Minimisation</w:t>
      </w:r>
      <w:r>
        <w:rPr>
          <w:rFonts w:ascii="Arial" w:hAnsi="Arial" w:cs="Arial"/>
        </w:rPr>
        <w:t xml:space="preserve">, </w:t>
      </w:r>
      <w:r w:rsidR="00B33E6A">
        <w:rPr>
          <w:rFonts w:ascii="Arial" w:hAnsi="Arial" w:cs="Arial"/>
        </w:rPr>
        <w:t xml:space="preserve">where </w:t>
      </w:r>
      <w:r>
        <w:rPr>
          <w:rFonts w:ascii="Arial" w:hAnsi="Arial" w:cs="Arial"/>
        </w:rPr>
        <w:t>t</w:t>
      </w:r>
      <w:r w:rsidR="00C41D72">
        <w:rPr>
          <w:rFonts w:ascii="Arial" w:hAnsi="Arial" w:cs="Arial"/>
        </w:rPr>
        <w:t xml:space="preserve">he data must be used in a way that is adequate, </w:t>
      </w:r>
      <w:r w:rsidR="006B5C3A">
        <w:rPr>
          <w:rFonts w:ascii="Arial" w:hAnsi="Arial" w:cs="Arial"/>
        </w:rPr>
        <w:t>relevant,</w:t>
      </w:r>
      <w:r w:rsidR="00C41D72">
        <w:rPr>
          <w:rFonts w:ascii="Arial" w:hAnsi="Arial" w:cs="Arial"/>
        </w:rPr>
        <w:t xml:space="preserve"> and limited to what is needed for the processing purpose. </w:t>
      </w:r>
    </w:p>
    <w:p w14:paraId="12F46824" w14:textId="454BE07B" w:rsidR="00E41013" w:rsidRDefault="009355B4" w:rsidP="00EE0E18">
      <w:pPr>
        <w:tabs>
          <w:tab w:val="left" w:pos="1215"/>
        </w:tabs>
        <w:jc w:val="both"/>
        <w:rPr>
          <w:rFonts w:ascii="Arial" w:hAnsi="Arial" w:cs="Arial"/>
        </w:rPr>
      </w:pPr>
      <w:r>
        <w:rPr>
          <w:rFonts w:ascii="Arial" w:hAnsi="Arial" w:cs="Arial"/>
        </w:rPr>
        <w:t>Further</w:t>
      </w:r>
      <w:r w:rsidR="006B5C3A">
        <w:rPr>
          <w:rFonts w:ascii="Arial" w:hAnsi="Arial" w:cs="Arial"/>
        </w:rPr>
        <w:t xml:space="preserve">, we have </w:t>
      </w:r>
      <w:r w:rsidR="006B5C3A" w:rsidRPr="006B5C3A">
        <w:rPr>
          <w:rFonts w:ascii="Arial" w:hAnsi="Arial" w:cs="Arial"/>
          <w:b/>
          <w:bCs/>
        </w:rPr>
        <w:t>Accuracy</w:t>
      </w:r>
      <w:r w:rsidR="006B5C3A">
        <w:rPr>
          <w:rFonts w:ascii="Arial" w:hAnsi="Arial" w:cs="Arial"/>
        </w:rPr>
        <w:t xml:space="preserve">, </w:t>
      </w:r>
      <w:r>
        <w:rPr>
          <w:rFonts w:ascii="Arial" w:hAnsi="Arial" w:cs="Arial"/>
        </w:rPr>
        <w:t>data</w:t>
      </w:r>
      <w:r w:rsidR="00C41D72">
        <w:rPr>
          <w:rFonts w:ascii="Arial" w:hAnsi="Arial" w:cs="Arial"/>
        </w:rPr>
        <w:t xml:space="preserve"> should </w:t>
      </w:r>
      <w:r w:rsidR="00180764">
        <w:rPr>
          <w:rFonts w:ascii="Arial" w:hAnsi="Arial" w:cs="Arial"/>
        </w:rPr>
        <w:t xml:space="preserve">be </w:t>
      </w:r>
      <w:r w:rsidR="00C41D72">
        <w:rPr>
          <w:rFonts w:ascii="Arial" w:hAnsi="Arial" w:cs="Arial"/>
        </w:rPr>
        <w:t>accurate and always up to date, taking measures in removing inaccurate or incomplete data</w:t>
      </w:r>
      <w:r w:rsidR="00180764">
        <w:rPr>
          <w:rFonts w:ascii="Arial" w:hAnsi="Arial" w:cs="Arial"/>
        </w:rPr>
        <w:t xml:space="preserve"> but also making sure that individuals have the option on requesting data that are related to them to be rectified and erased</w:t>
      </w:r>
      <w:r w:rsidR="00281E2A">
        <w:rPr>
          <w:rFonts w:ascii="Arial" w:hAnsi="Arial" w:cs="Arial"/>
        </w:rPr>
        <w:t xml:space="preserve">. </w:t>
      </w:r>
    </w:p>
    <w:p w14:paraId="31D53E2C" w14:textId="77777777" w:rsidR="00E41013" w:rsidRDefault="005F1EE7" w:rsidP="00EE0E18">
      <w:pPr>
        <w:tabs>
          <w:tab w:val="left" w:pos="1215"/>
        </w:tabs>
        <w:jc w:val="both"/>
        <w:rPr>
          <w:rFonts w:ascii="Arial" w:hAnsi="Arial" w:cs="Arial"/>
        </w:rPr>
      </w:pPr>
      <w:r>
        <w:rPr>
          <w:rFonts w:ascii="Arial" w:hAnsi="Arial" w:cs="Arial"/>
        </w:rPr>
        <w:t xml:space="preserve">Also, </w:t>
      </w:r>
      <w:r w:rsidRPr="005F1EE7">
        <w:rPr>
          <w:rFonts w:ascii="Arial" w:hAnsi="Arial" w:cs="Arial"/>
          <w:b/>
          <w:bCs/>
        </w:rPr>
        <w:t>Storage Limitation</w:t>
      </w:r>
      <w:r>
        <w:rPr>
          <w:rFonts w:ascii="Arial" w:hAnsi="Arial" w:cs="Arial"/>
          <w:b/>
          <w:bCs/>
        </w:rPr>
        <w:t xml:space="preserve">, </w:t>
      </w:r>
      <w:r w:rsidRPr="005F1EE7">
        <w:rPr>
          <w:rFonts w:ascii="Arial" w:hAnsi="Arial" w:cs="Arial"/>
        </w:rPr>
        <w:t>which</w:t>
      </w:r>
      <w:r>
        <w:rPr>
          <w:rFonts w:ascii="Arial" w:hAnsi="Arial" w:cs="Arial"/>
        </w:rPr>
        <w:t xml:space="preserve"> describes that data should only be retained for as long as necessary considering their purpose of keeping</w:t>
      </w:r>
      <w:r w:rsidR="00316F56">
        <w:rPr>
          <w:rFonts w:ascii="Arial" w:hAnsi="Arial" w:cs="Arial"/>
        </w:rPr>
        <w:t>,</w:t>
      </w:r>
      <w:r>
        <w:rPr>
          <w:rFonts w:ascii="Arial" w:hAnsi="Arial" w:cs="Arial"/>
        </w:rPr>
        <w:t xml:space="preserve"> and securely deleting any data when are no longer needed. </w:t>
      </w:r>
    </w:p>
    <w:p w14:paraId="5597D450" w14:textId="24DC487A" w:rsidR="00035412" w:rsidRDefault="00281E2A" w:rsidP="00EE0E18">
      <w:pPr>
        <w:tabs>
          <w:tab w:val="left" w:pos="1215"/>
        </w:tabs>
        <w:jc w:val="both"/>
        <w:rPr>
          <w:rFonts w:ascii="Arial" w:hAnsi="Arial" w:cs="Arial"/>
        </w:rPr>
      </w:pPr>
      <w:r>
        <w:rPr>
          <w:rFonts w:ascii="Arial" w:hAnsi="Arial" w:cs="Arial"/>
        </w:rPr>
        <w:t>Lastly</w:t>
      </w:r>
      <w:r w:rsidR="005F1EE7">
        <w:rPr>
          <w:rFonts w:ascii="Arial" w:hAnsi="Arial" w:cs="Arial"/>
        </w:rPr>
        <w:t xml:space="preserve">, we have </w:t>
      </w:r>
      <w:r w:rsidR="005F1EE7" w:rsidRPr="005F1EE7">
        <w:rPr>
          <w:rFonts w:ascii="Arial" w:hAnsi="Arial" w:cs="Arial"/>
          <w:b/>
          <w:bCs/>
        </w:rPr>
        <w:t>Integrity and Confidentiality</w:t>
      </w:r>
      <w:r w:rsidR="005F1EE7">
        <w:rPr>
          <w:rFonts w:ascii="Arial" w:hAnsi="Arial" w:cs="Arial"/>
        </w:rPr>
        <w:t xml:space="preserve">, </w:t>
      </w:r>
      <w:r w:rsidR="00F022E0">
        <w:rPr>
          <w:rFonts w:ascii="Arial" w:hAnsi="Arial" w:cs="Arial"/>
        </w:rPr>
        <w:t xml:space="preserve">which also describes that </w:t>
      </w:r>
      <w:r>
        <w:rPr>
          <w:rFonts w:ascii="Arial" w:hAnsi="Arial" w:cs="Arial"/>
        </w:rPr>
        <w:t>data should always be kept secure by establishing appropriate security measures in</w:t>
      </w:r>
      <w:r w:rsidR="000E16EF">
        <w:rPr>
          <w:rFonts w:ascii="Arial" w:hAnsi="Arial" w:cs="Arial"/>
        </w:rPr>
        <w:t>cluding</w:t>
      </w:r>
      <w:r>
        <w:rPr>
          <w:rFonts w:ascii="Arial" w:hAnsi="Arial" w:cs="Arial"/>
        </w:rPr>
        <w:t xml:space="preserve"> preventing </w:t>
      </w:r>
      <w:r w:rsidR="00F022E0">
        <w:rPr>
          <w:rFonts w:ascii="Arial" w:hAnsi="Arial" w:cs="Arial"/>
        </w:rPr>
        <w:t>“</w:t>
      </w:r>
      <w:r w:rsidR="00F022E0" w:rsidRPr="00F022E0">
        <w:rPr>
          <w:rFonts w:ascii="Arial" w:hAnsi="Arial" w:cs="Arial"/>
        </w:rPr>
        <w:t>unauthorised or unlawful processing</w:t>
      </w:r>
      <w:r w:rsidR="00F022E0">
        <w:rPr>
          <w:rFonts w:ascii="Arial" w:hAnsi="Arial" w:cs="Arial"/>
        </w:rPr>
        <w:t xml:space="preserve">” </w:t>
      </w:r>
      <w:r w:rsidR="00F022E0" w:rsidRPr="00F022E0">
        <w:rPr>
          <w:rFonts w:ascii="Arial" w:hAnsi="Arial" w:cs="Arial"/>
          <w:vertAlign w:val="superscript"/>
        </w:rPr>
        <w:t>[1]</w:t>
      </w:r>
      <w:r w:rsidR="000E16EF">
        <w:rPr>
          <w:rFonts w:ascii="Arial" w:hAnsi="Arial" w:cs="Arial"/>
          <w:vertAlign w:val="superscript"/>
        </w:rPr>
        <w:t xml:space="preserve"> </w:t>
      </w:r>
      <w:r w:rsidR="000E16EF">
        <w:rPr>
          <w:rFonts w:ascii="Arial" w:hAnsi="Arial" w:cs="Arial"/>
        </w:rPr>
        <w:t>or destruction or damage.</w:t>
      </w:r>
    </w:p>
    <w:p w14:paraId="38E9684A" w14:textId="77777777" w:rsidR="002B0F41" w:rsidRDefault="002B0F41" w:rsidP="00EE0E18">
      <w:pPr>
        <w:tabs>
          <w:tab w:val="left" w:pos="1215"/>
        </w:tabs>
        <w:jc w:val="both"/>
        <w:rPr>
          <w:rFonts w:ascii="Arial" w:hAnsi="Arial" w:cs="Arial"/>
        </w:rPr>
      </w:pPr>
    </w:p>
    <w:p w14:paraId="2AB5B9F6" w14:textId="653FDDC3" w:rsidR="00C40D08" w:rsidRDefault="00C40D08" w:rsidP="003B4A6B">
      <w:pPr>
        <w:tabs>
          <w:tab w:val="left" w:pos="1215"/>
        </w:tabs>
        <w:jc w:val="both"/>
        <w:rPr>
          <w:rFonts w:ascii="Arial" w:hAnsi="Arial" w:cs="Arial"/>
        </w:rPr>
      </w:pPr>
      <w:r>
        <w:rPr>
          <w:rFonts w:ascii="Arial" w:hAnsi="Arial" w:cs="Arial"/>
        </w:rPr>
        <w:t>Q2.</w:t>
      </w:r>
    </w:p>
    <w:p w14:paraId="1D2DDD2F" w14:textId="0A48F3AC" w:rsidR="00EE2AB3" w:rsidRDefault="009A4A54" w:rsidP="000F6229">
      <w:pPr>
        <w:tabs>
          <w:tab w:val="left" w:pos="1215"/>
        </w:tabs>
        <w:jc w:val="both"/>
        <w:rPr>
          <w:rFonts w:ascii="Arial" w:hAnsi="Arial" w:cs="Arial"/>
        </w:rPr>
      </w:pPr>
      <w:r>
        <w:rPr>
          <w:rFonts w:ascii="Arial" w:hAnsi="Arial" w:cs="Arial"/>
        </w:rPr>
        <w:t>The</w:t>
      </w:r>
      <w:r w:rsidR="00D64245" w:rsidRPr="00D64245">
        <w:rPr>
          <w:rFonts w:ascii="Arial" w:hAnsi="Arial" w:cs="Arial"/>
        </w:rPr>
        <w:t xml:space="preserve"> GDPR Accountability principle</w:t>
      </w:r>
      <w:r>
        <w:rPr>
          <w:rFonts w:ascii="Arial" w:hAnsi="Arial" w:cs="Arial"/>
        </w:rPr>
        <w:t xml:space="preserve"> states that a company should be responsible and be able to demonstrate their ability of compliance with the other data protection principles</w:t>
      </w:r>
      <w:r w:rsidR="009B5BE4">
        <w:rPr>
          <w:rFonts w:ascii="Arial" w:hAnsi="Arial" w:cs="Arial"/>
        </w:rPr>
        <w:t>. But there are many elements of Accountability that should also be established and correctly addressed in order for a company to fully comply with the rules</w:t>
      </w:r>
      <w:r w:rsidR="009645B3">
        <w:rPr>
          <w:rFonts w:ascii="Arial" w:hAnsi="Arial" w:cs="Arial"/>
        </w:rPr>
        <w:t xml:space="preserve">. There </w:t>
      </w:r>
      <w:r w:rsidR="00D64245">
        <w:rPr>
          <w:rFonts w:ascii="Arial" w:hAnsi="Arial" w:cs="Arial"/>
        </w:rPr>
        <w:t xml:space="preserve">are several actions the company will need to take for the implementation of the new features. Firstly, we have the action of </w:t>
      </w:r>
      <w:r w:rsidR="00D64245" w:rsidRPr="00161C1E">
        <w:rPr>
          <w:rFonts w:ascii="Arial" w:hAnsi="Arial" w:cs="Arial"/>
          <w:b/>
          <w:bCs/>
        </w:rPr>
        <w:t>Transparency</w:t>
      </w:r>
      <w:r>
        <w:rPr>
          <w:rFonts w:ascii="Arial" w:hAnsi="Arial" w:cs="Arial"/>
        </w:rPr>
        <w:t xml:space="preserve"> </w:t>
      </w:r>
      <w:r w:rsidRPr="00D64245">
        <w:rPr>
          <w:rFonts w:ascii="Arial" w:hAnsi="Arial" w:cs="Arial"/>
          <w:vertAlign w:val="superscript"/>
        </w:rPr>
        <w:t>[2]</w:t>
      </w:r>
      <w:r w:rsidR="007255F5">
        <w:rPr>
          <w:rFonts w:ascii="Arial" w:hAnsi="Arial" w:cs="Arial"/>
        </w:rPr>
        <w:t xml:space="preserve"> which describes, communicating information of individuals regarding their privacy program, </w:t>
      </w:r>
      <w:r w:rsidR="007D31AB">
        <w:rPr>
          <w:rFonts w:ascii="Arial" w:hAnsi="Arial" w:cs="Arial"/>
        </w:rPr>
        <w:t>procedures,</w:t>
      </w:r>
      <w:r w:rsidR="007255F5">
        <w:rPr>
          <w:rFonts w:ascii="Arial" w:hAnsi="Arial" w:cs="Arial"/>
        </w:rPr>
        <w:t xml:space="preserve"> and processes regarding the use of their personal data as well as potential risks. </w:t>
      </w:r>
      <w:r w:rsidR="00A95202">
        <w:rPr>
          <w:rFonts w:ascii="Arial" w:hAnsi="Arial" w:cs="Arial"/>
        </w:rPr>
        <w:t>The company should clearly inform their users of how the addition of the new feature will use their private information</w:t>
      </w:r>
      <w:r w:rsidR="00D33661">
        <w:rPr>
          <w:rFonts w:ascii="Arial" w:hAnsi="Arial" w:cs="Arial"/>
        </w:rPr>
        <w:t xml:space="preserve">. </w:t>
      </w:r>
      <w:r w:rsidR="007255F5">
        <w:rPr>
          <w:rFonts w:ascii="Arial" w:hAnsi="Arial" w:cs="Arial"/>
        </w:rPr>
        <w:t>This communication engages the privacy regulations of the company regarding their privacy program.</w:t>
      </w:r>
      <w:r w:rsidR="007D31AB">
        <w:rPr>
          <w:rFonts w:ascii="Arial" w:hAnsi="Arial" w:cs="Arial"/>
        </w:rPr>
        <w:t xml:space="preserve"> </w:t>
      </w:r>
      <w:r w:rsidR="003951D5">
        <w:rPr>
          <w:rFonts w:ascii="Arial" w:hAnsi="Arial" w:cs="Arial"/>
        </w:rPr>
        <w:t>Furthermore</w:t>
      </w:r>
      <w:r w:rsidR="007D31AB">
        <w:rPr>
          <w:rFonts w:ascii="Arial" w:hAnsi="Arial" w:cs="Arial"/>
        </w:rPr>
        <w:t xml:space="preserve">, we have </w:t>
      </w:r>
      <w:r w:rsidR="007D31AB" w:rsidRPr="00161C1E">
        <w:rPr>
          <w:rFonts w:ascii="Arial" w:hAnsi="Arial" w:cs="Arial"/>
          <w:b/>
          <w:bCs/>
        </w:rPr>
        <w:t>Risk Assessment</w:t>
      </w:r>
      <w:r w:rsidR="00547A3B">
        <w:rPr>
          <w:rFonts w:ascii="Arial" w:hAnsi="Arial" w:cs="Arial"/>
        </w:rPr>
        <w:t xml:space="preserve"> </w:t>
      </w:r>
      <w:r w:rsidR="007D31AB" w:rsidRPr="00D64245">
        <w:rPr>
          <w:rFonts w:ascii="Arial" w:hAnsi="Arial" w:cs="Arial"/>
          <w:vertAlign w:val="superscript"/>
        </w:rPr>
        <w:t>[2]</w:t>
      </w:r>
      <w:r w:rsidR="007D31AB">
        <w:rPr>
          <w:rFonts w:ascii="Arial" w:hAnsi="Arial" w:cs="Arial"/>
          <w:vertAlign w:val="superscript"/>
        </w:rPr>
        <w:t xml:space="preserve"> </w:t>
      </w:r>
      <w:r w:rsidR="007D31AB">
        <w:rPr>
          <w:rFonts w:ascii="Arial" w:hAnsi="Arial" w:cs="Arial"/>
        </w:rPr>
        <w:t>where the company should assess their privacy program regarding these newly added features as they should be able to able to mitigate any risks of individuals in case of data breach incidents</w:t>
      </w:r>
      <w:r w:rsidR="00650B24">
        <w:rPr>
          <w:rFonts w:ascii="Arial" w:hAnsi="Arial" w:cs="Arial"/>
        </w:rPr>
        <w:t>.</w:t>
      </w:r>
      <w:r w:rsidR="00E45C95">
        <w:rPr>
          <w:rFonts w:ascii="Arial" w:hAnsi="Arial" w:cs="Arial"/>
        </w:rPr>
        <w:t xml:space="preserve"> </w:t>
      </w:r>
      <w:r w:rsidR="006E0D3E">
        <w:rPr>
          <w:rFonts w:ascii="Arial" w:hAnsi="Arial" w:cs="Arial"/>
        </w:rPr>
        <w:t>The addition of these features should in no way disrupt the security of the company so their policies should be updated and addressed.</w:t>
      </w:r>
    </w:p>
    <w:p w14:paraId="074695F8" w14:textId="17EB3B84" w:rsidR="0028015B" w:rsidRPr="00102539" w:rsidRDefault="00A02E29" w:rsidP="009C342D">
      <w:pPr>
        <w:rPr>
          <w:rFonts w:ascii="Arial" w:hAnsi="Arial" w:cs="Arial"/>
          <w:color w:val="806000" w:themeColor="accent4" w:themeShade="80"/>
        </w:rPr>
      </w:pPr>
      <w:r>
        <w:rPr>
          <w:rFonts w:ascii="Arial" w:hAnsi="Arial" w:cs="Arial"/>
        </w:rPr>
        <w:lastRenderedPageBreak/>
        <w:t>Q3.</w:t>
      </w:r>
      <w:r w:rsidR="006E67CE">
        <w:rPr>
          <w:rFonts w:ascii="Arial" w:hAnsi="Arial" w:cs="Arial"/>
        </w:rPr>
        <w:t xml:space="preserve"> </w:t>
      </w:r>
    </w:p>
    <w:p w14:paraId="09DBB07C" w14:textId="77777777" w:rsidR="002040B7" w:rsidRDefault="00AB655E" w:rsidP="00AC4E61">
      <w:pPr>
        <w:jc w:val="both"/>
        <w:rPr>
          <w:rFonts w:ascii="Arial" w:hAnsi="Arial" w:cs="Arial"/>
        </w:rPr>
      </w:pPr>
      <w:r>
        <w:rPr>
          <w:rFonts w:ascii="Arial" w:hAnsi="Arial" w:cs="Arial"/>
        </w:rPr>
        <w:t>There are some key additions in the</w:t>
      </w:r>
      <w:r w:rsidR="00C11931">
        <w:rPr>
          <w:rFonts w:ascii="Arial" w:hAnsi="Arial" w:cs="Arial"/>
        </w:rPr>
        <w:t xml:space="preserve"> 2018</w:t>
      </w:r>
      <w:r>
        <w:rPr>
          <w:rFonts w:ascii="Arial" w:hAnsi="Arial" w:cs="Arial"/>
        </w:rPr>
        <w:t xml:space="preserve"> Data Protection Act  that updates the previous 1998 DPA. These 3 additions are </w:t>
      </w:r>
      <w:r w:rsidR="003D329F">
        <w:rPr>
          <w:rFonts w:ascii="Arial" w:hAnsi="Arial" w:cs="Arial"/>
        </w:rPr>
        <w:t>“</w:t>
      </w:r>
      <w:r w:rsidRPr="00000F05">
        <w:rPr>
          <w:rFonts w:ascii="Arial" w:hAnsi="Arial" w:cs="Arial"/>
          <w:b/>
          <w:bCs/>
        </w:rPr>
        <w:t>the right to erasure</w:t>
      </w:r>
      <w:r w:rsidR="003D329F">
        <w:rPr>
          <w:rFonts w:ascii="Arial" w:hAnsi="Arial" w:cs="Arial"/>
        </w:rPr>
        <w:t>”</w:t>
      </w:r>
      <w:r>
        <w:rPr>
          <w:rFonts w:ascii="Arial" w:hAnsi="Arial" w:cs="Arial"/>
        </w:rPr>
        <w:t xml:space="preserve">, </w:t>
      </w:r>
      <w:r w:rsidR="003D329F">
        <w:rPr>
          <w:rFonts w:ascii="Arial" w:hAnsi="Arial" w:cs="Arial"/>
        </w:rPr>
        <w:t>“</w:t>
      </w:r>
      <w:r w:rsidRPr="00000F05">
        <w:rPr>
          <w:rFonts w:ascii="Arial" w:hAnsi="Arial" w:cs="Arial"/>
          <w:b/>
          <w:bCs/>
        </w:rPr>
        <w:t>inclusions of exemptions of the Data Protection Act</w:t>
      </w:r>
      <w:r w:rsidR="003D329F">
        <w:rPr>
          <w:rFonts w:ascii="Arial" w:hAnsi="Arial" w:cs="Arial"/>
        </w:rPr>
        <w:t>”</w:t>
      </w:r>
      <w:r>
        <w:rPr>
          <w:rFonts w:ascii="Arial" w:hAnsi="Arial" w:cs="Arial"/>
        </w:rPr>
        <w:t xml:space="preserve"> and </w:t>
      </w:r>
      <w:r w:rsidR="003D329F">
        <w:rPr>
          <w:rFonts w:ascii="Arial" w:hAnsi="Arial" w:cs="Arial"/>
        </w:rPr>
        <w:t>“</w:t>
      </w:r>
      <w:r w:rsidRPr="00000F05">
        <w:rPr>
          <w:rFonts w:ascii="Arial" w:hAnsi="Arial" w:cs="Arial"/>
          <w:b/>
          <w:bCs/>
        </w:rPr>
        <w:t>being regulated in tandem with the GDPR</w:t>
      </w:r>
      <w:r w:rsidR="003D329F">
        <w:rPr>
          <w:rFonts w:ascii="Arial" w:hAnsi="Arial" w:cs="Arial"/>
        </w:rPr>
        <w:t>”</w:t>
      </w:r>
      <w:r w:rsidR="007F1F58">
        <w:rPr>
          <w:rFonts w:ascii="Arial" w:hAnsi="Arial" w:cs="Arial"/>
        </w:rPr>
        <w:t xml:space="preserve"> </w:t>
      </w:r>
      <w:r w:rsidR="007F1F58" w:rsidRPr="00D64245">
        <w:rPr>
          <w:rFonts w:ascii="Arial" w:hAnsi="Arial" w:cs="Arial"/>
          <w:vertAlign w:val="superscript"/>
        </w:rPr>
        <w:t>[</w:t>
      </w:r>
      <w:r w:rsidR="007F1F58">
        <w:rPr>
          <w:rFonts w:ascii="Arial" w:hAnsi="Arial" w:cs="Arial"/>
          <w:vertAlign w:val="superscript"/>
        </w:rPr>
        <w:t>3</w:t>
      </w:r>
      <w:r w:rsidR="007F1F58" w:rsidRPr="00D64245">
        <w:rPr>
          <w:rFonts w:ascii="Arial" w:hAnsi="Arial" w:cs="Arial"/>
          <w:vertAlign w:val="superscript"/>
        </w:rPr>
        <w:t>]</w:t>
      </w:r>
      <w:r w:rsidR="007F1F58">
        <w:rPr>
          <w:rFonts w:ascii="Arial" w:hAnsi="Arial" w:cs="Arial"/>
        </w:rPr>
        <w:t>.</w:t>
      </w:r>
      <w:r w:rsidR="00257380">
        <w:rPr>
          <w:rFonts w:ascii="Arial" w:hAnsi="Arial" w:cs="Arial"/>
        </w:rPr>
        <w:t xml:space="preserve"> </w:t>
      </w:r>
    </w:p>
    <w:p w14:paraId="56AFB477" w14:textId="79FC42AC" w:rsidR="002040B7" w:rsidRDefault="00A24FB5" w:rsidP="00AC4E61">
      <w:pPr>
        <w:jc w:val="both"/>
        <w:rPr>
          <w:rFonts w:ascii="Arial" w:hAnsi="Arial" w:cs="Arial"/>
        </w:rPr>
      </w:pPr>
      <w:r>
        <w:rPr>
          <w:rFonts w:ascii="Arial" w:hAnsi="Arial" w:cs="Arial"/>
        </w:rPr>
        <w:t>The right to erasure introduced the right to individuals to have their personal data erased</w:t>
      </w:r>
      <w:r w:rsidR="00257380">
        <w:rPr>
          <w:rFonts w:ascii="Arial" w:hAnsi="Arial" w:cs="Arial"/>
        </w:rPr>
        <w:t xml:space="preserve"> at their request</w:t>
      </w:r>
      <w:r>
        <w:rPr>
          <w:rFonts w:ascii="Arial" w:hAnsi="Arial" w:cs="Arial"/>
        </w:rPr>
        <w:t xml:space="preserve"> </w:t>
      </w:r>
      <w:r w:rsidR="008B7088">
        <w:rPr>
          <w:rFonts w:ascii="Arial" w:hAnsi="Arial" w:cs="Arial"/>
        </w:rPr>
        <w:t xml:space="preserve">but </w:t>
      </w:r>
      <w:r w:rsidR="00291D97">
        <w:rPr>
          <w:rFonts w:ascii="Arial" w:hAnsi="Arial" w:cs="Arial"/>
        </w:rPr>
        <w:t xml:space="preserve">can </w:t>
      </w:r>
      <w:r>
        <w:rPr>
          <w:rFonts w:ascii="Arial" w:hAnsi="Arial" w:cs="Arial"/>
        </w:rPr>
        <w:t>only</w:t>
      </w:r>
      <w:r w:rsidR="00291D97">
        <w:rPr>
          <w:rFonts w:ascii="Arial" w:hAnsi="Arial" w:cs="Arial"/>
        </w:rPr>
        <w:t xml:space="preserve"> be</w:t>
      </w:r>
      <w:r>
        <w:rPr>
          <w:rFonts w:ascii="Arial" w:hAnsi="Arial" w:cs="Arial"/>
        </w:rPr>
        <w:t xml:space="preserve"> appli</w:t>
      </w:r>
      <w:r w:rsidR="008B7088">
        <w:rPr>
          <w:rFonts w:ascii="Arial" w:hAnsi="Arial" w:cs="Arial"/>
        </w:rPr>
        <w:t>ed under</w:t>
      </w:r>
      <w:r>
        <w:rPr>
          <w:rFonts w:ascii="Arial" w:hAnsi="Arial" w:cs="Arial"/>
        </w:rPr>
        <w:t xml:space="preserve"> certain circumstances</w:t>
      </w:r>
      <w:r w:rsidR="00CA310F">
        <w:rPr>
          <w:rFonts w:ascii="Arial" w:hAnsi="Arial" w:cs="Arial"/>
        </w:rPr>
        <w:t xml:space="preserve"> </w:t>
      </w:r>
      <w:r w:rsidR="00CA310F" w:rsidRPr="00D64245">
        <w:rPr>
          <w:rFonts w:ascii="Arial" w:hAnsi="Arial" w:cs="Arial"/>
          <w:vertAlign w:val="superscript"/>
        </w:rPr>
        <w:t>[</w:t>
      </w:r>
      <w:r w:rsidR="00CA310F">
        <w:rPr>
          <w:rFonts w:ascii="Arial" w:hAnsi="Arial" w:cs="Arial"/>
          <w:vertAlign w:val="superscript"/>
        </w:rPr>
        <w:t>4]</w:t>
      </w:r>
      <w:r>
        <w:rPr>
          <w:rFonts w:ascii="Arial" w:hAnsi="Arial" w:cs="Arial"/>
        </w:rPr>
        <w:t>.</w:t>
      </w:r>
      <w:r w:rsidR="00B80022">
        <w:rPr>
          <w:rFonts w:ascii="Arial" w:hAnsi="Arial" w:cs="Arial"/>
        </w:rPr>
        <w:t xml:space="preserve"> </w:t>
      </w:r>
      <w:r w:rsidR="00904951">
        <w:rPr>
          <w:rFonts w:ascii="Arial" w:hAnsi="Arial" w:cs="Arial"/>
        </w:rPr>
        <w:t>The consequence of this addition prevents the company from indefinitely keeping a user’s data and using it for processing purposes.</w:t>
      </w:r>
      <w:r w:rsidR="00904951" w:rsidRPr="00204415">
        <w:rPr>
          <w:rFonts w:ascii="Arial" w:hAnsi="Arial" w:cs="Arial"/>
          <w:vertAlign w:val="superscript"/>
        </w:rPr>
        <w:t>[5]</w:t>
      </w:r>
    </w:p>
    <w:p w14:paraId="601C4EBD" w14:textId="52146EEC" w:rsidR="00C5393C" w:rsidRDefault="00B80022" w:rsidP="0053224B">
      <w:pPr>
        <w:jc w:val="both"/>
        <w:rPr>
          <w:rFonts w:ascii="Arial" w:hAnsi="Arial" w:cs="Arial"/>
        </w:rPr>
      </w:pPr>
      <w:r>
        <w:rPr>
          <w:rFonts w:ascii="Arial" w:hAnsi="Arial" w:cs="Arial"/>
        </w:rPr>
        <w:t>Additionally, the 2018 DPA includes the exemptions from particular provisions</w:t>
      </w:r>
      <w:r w:rsidR="0053224B">
        <w:rPr>
          <w:rFonts w:ascii="Arial" w:hAnsi="Arial" w:cs="Arial"/>
        </w:rPr>
        <w:t>. In this case you may not have to follow all of the rights and obligations. Some of these exemptions include “</w:t>
      </w:r>
      <w:r w:rsidR="0053224B" w:rsidRPr="0053224B">
        <w:rPr>
          <w:rFonts w:ascii="Arial" w:hAnsi="Arial" w:cs="Arial"/>
        </w:rPr>
        <w:t>the right to be informed</w:t>
      </w:r>
      <w:r w:rsidR="0053224B">
        <w:rPr>
          <w:rFonts w:ascii="Arial" w:hAnsi="Arial" w:cs="Arial"/>
        </w:rPr>
        <w:t xml:space="preserve">, </w:t>
      </w:r>
      <w:r w:rsidR="0053224B" w:rsidRPr="0053224B">
        <w:rPr>
          <w:rFonts w:ascii="Arial" w:hAnsi="Arial" w:cs="Arial"/>
        </w:rPr>
        <w:t>the right of access</w:t>
      </w:r>
      <w:r w:rsidR="0053224B">
        <w:rPr>
          <w:rFonts w:ascii="Arial" w:hAnsi="Arial" w:cs="Arial"/>
        </w:rPr>
        <w:t xml:space="preserve">, </w:t>
      </w:r>
      <w:r w:rsidR="0053224B" w:rsidRPr="0053224B">
        <w:rPr>
          <w:rFonts w:ascii="Arial" w:hAnsi="Arial" w:cs="Arial"/>
        </w:rPr>
        <w:t>dealing with other individual rights</w:t>
      </w:r>
      <w:r w:rsidR="0053224B">
        <w:rPr>
          <w:rFonts w:ascii="Arial" w:hAnsi="Arial" w:cs="Arial"/>
        </w:rPr>
        <w:t>”</w:t>
      </w:r>
      <w:r w:rsidR="0053224B" w:rsidRPr="00956F3E">
        <w:rPr>
          <w:rFonts w:ascii="Arial" w:hAnsi="Arial" w:cs="Arial"/>
          <w:vertAlign w:val="superscript"/>
        </w:rPr>
        <w:t>[</w:t>
      </w:r>
      <w:r w:rsidR="009B643C">
        <w:rPr>
          <w:rFonts w:ascii="Arial" w:hAnsi="Arial" w:cs="Arial"/>
          <w:vertAlign w:val="superscript"/>
        </w:rPr>
        <w:t>6</w:t>
      </w:r>
      <w:r w:rsidR="0053224B" w:rsidRPr="00956F3E">
        <w:rPr>
          <w:rFonts w:ascii="Arial" w:hAnsi="Arial" w:cs="Arial"/>
          <w:vertAlign w:val="superscript"/>
        </w:rPr>
        <w:t>]</w:t>
      </w:r>
      <w:r w:rsidR="0053224B" w:rsidRPr="00956F3E">
        <w:rPr>
          <w:rFonts w:ascii="Arial" w:hAnsi="Arial" w:cs="Arial"/>
        </w:rPr>
        <w:t xml:space="preserve"> </w:t>
      </w:r>
      <w:r w:rsidR="0053224B">
        <w:rPr>
          <w:rFonts w:ascii="Arial" w:hAnsi="Arial" w:cs="Arial"/>
        </w:rPr>
        <w:t>and more</w:t>
      </w:r>
      <w:r w:rsidR="005B40CF">
        <w:rPr>
          <w:rFonts w:ascii="Arial" w:hAnsi="Arial" w:cs="Arial"/>
        </w:rPr>
        <w:t>.</w:t>
      </w:r>
      <w:r w:rsidR="00C51653">
        <w:rPr>
          <w:rFonts w:ascii="Arial" w:hAnsi="Arial" w:cs="Arial"/>
        </w:rPr>
        <w:t xml:space="preserve"> The consequence is </w:t>
      </w:r>
      <w:r w:rsidR="00C5393C">
        <w:rPr>
          <w:rFonts w:ascii="Arial" w:hAnsi="Arial" w:cs="Arial"/>
        </w:rPr>
        <w:t>now</w:t>
      </w:r>
      <w:r w:rsidR="00C51653">
        <w:rPr>
          <w:rFonts w:ascii="Arial" w:hAnsi="Arial" w:cs="Arial"/>
        </w:rPr>
        <w:t xml:space="preserve"> </w:t>
      </w:r>
      <w:r w:rsidR="003C6328">
        <w:rPr>
          <w:rFonts w:ascii="Arial" w:hAnsi="Arial" w:cs="Arial"/>
        </w:rPr>
        <w:t xml:space="preserve">the exemptions </w:t>
      </w:r>
      <w:r w:rsidR="00C5393C">
        <w:rPr>
          <w:rFonts w:ascii="Arial" w:hAnsi="Arial" w:cs="Arial"/>
        </w:rPr>
        <w:t>are much clearer for the people to know and understand making it stricter for the companies to follow and implement the rules accordingly.</w:t>
      </w:r>
      <w:r w:rsidR="005072FB" w:rsidRPr="005072FB">
        <w:rPr>
          <w:rFonts w:ascii="Arial" w:hAnsi="Arial" w:cs="Arial"/>
          <w:vertAlign w:val="superscript"/>
        </w:rPr>
        <w:t>[3]</w:t>
      </w:r>
    </w:p>
    <w:p w14:paraId="601876B6" w14:textId="5DD0E56D" w:rsidR="00AB655E" w:rsidRPr="00055917" w:rsidRDefault="00FC4A89" w:rsidP="00E9546C">
      <w:pPr>
        <w:jc w:val="both"/>
        <w:rPr>
          <w:rFonts w:ascii="Arial" w:hAnsi="Arial" w:cs="Arial"/>
        </w:rPr>
      </w:pPr>
      <w:r>
        <w:rPr>
          <w:rFonts w:ascii="Arial" w:hAnsi="Arial" w:cs="Arial"/>
        </w:rPr>
        <w:t>Finally</w:t>
      </w:r>
      <w:r w:rsidR="00922E11">
        <w:rPr>
          <w:rFonts w:ascii="Arial" w:hAnsi="Arial" w:cs="Arial"/>
        </w:rPr>
        <w:t>, for the 3</w:t>
      </w:r>
      <w:r w:rsidR="00922E11" w:rsidRPr="00922E11">
        <w:rPr>
          <w:rFonts w:ascii="Arial" w:hAnsi="Arial" w:cs="Arial"/>
          <w:vertAlign w:val="superscript"/>
        </w:rPr>
        <w:t>rd</w:t>
      </w:r>
      <w:r w:rsidR="00922E11">
        <w:rPr>
          <w:rFonts w:ascii="Arial" w:hAnsi="Arial" w:cs="Arial"/>
        </w:rPr>
        <w:t xml:space="preserve"> difference we have the inclusion of the GDPR </w:t>
      </w:r>
      <w:r w:rsidR="0088193C">
        <w:rPr>
          <w:rFonts w:ascii="Arial" w:hAnsi="Arial" w:cs="Arial"/>
        </w:rPr>
        <w:t>which works in tandem with</w:t>
      </w:r>
      <w:r w:rsidR="00922E11">
        <w:rPr>
          <w:rFonts w:ascii="Arial" w:hAnsi="Arial" w:cs="Arial"/>
        </w:rPr>
        <w:t xml:space="preserve"> the DPA 2018. </w:t>
      </w:r>
      <w:r w:rsidR="00E9546C">
        <w:rPr>
          <w:rFonts w:ascii="Arial" w:hAnsi="Arial" w:cs="Arial"/>
        </w:rPr>
        <w:t>With the creation of the GDPR the Data Protection Act was updated and are intended to be used together</w:t>
      </w:r>
      <w:r w:rsidR="003A144D">
        <w:rPr>
          <w:rFonts w:ascii="Arial" w:hAnsi="Arial" w:cs="Arial"/>
        </w:rPr>
        <w:t xml:space="preserve"> </w:t>
      </w:r>
      <w:r w:rsidR="003A144D" w:rsidRPr="005072FB">
        <w:rPr>
          <w:rFonts w:ascii="Arial" w:hAnsi="Arial" w:cs="Arial"/>
          <w:vertAlign w:val="superscript"/>
        </w:rPr>
        <w:t>[3]</w:t>
      </w:r>
      <w:r w:rsidR="00E9546C">
        <w:rPr>
          <w:rFonts w:ascii="Arial" w:hAnsi="Arial" w:cs="Arial"/>
        </w:rPr>
        <w:t xml:space="preserve">. </w:t>
      </w:r>
      <w:r w:rsidR="009F640C">
        <w:rPr>
          <w:rFonts w:ascii="Arial" w:hAnsi="Arial" w:cs="Arial"/>
        </w:rPr>
        <w:t xml:space="preserve">This combination has a consequence that rules are applied not only for the citizens for the UK but also of the European Union. </w:t>
      </w:r>
      <w:r w:rsidR="009B643C">
        <w:rPr>
          <w:rFonts w:ascii="Arial" w:hAnsi="Arial" w:cs="Arial"/>
        </w:rPr>
        <w:t>Thus,</w:t>
      </w:r>
      <w:r w:rsidR="009F640C">
        <w:rPr>
          <w:rFonts w:ascii="Arial" w:hAnsi="Arial" w:cs="Arial"/>
        </w:rPr>
        <w:t xml:space="preserve"> companies that use information from citizens of the European Union need to also abide by the rules of the GDPR.</w:t>
      </w:r>
    </w:p>
    <w:p w14:paraId="0A6989CE" w14:textId="77777777" w:rsidR="00AA7F52" w:rsidRDefault="00AA7F52" w:rsidP="00B0677B">
      <w:pPr>
        <w:jc w:val="both"/>
        <w:rPr>
          <w:rFonts w:ascii="Arial" w:hAnsi="Arial" w:cs="Arial"/>
        </w:rPr>
      </w:pPr>
    </w:p>
    <w:p w14:paraId="5E97038B" w14:textId="376A7725" w:rsidR="00BE4964" w:rsidRDefault="006F5CB7" w:rsidP="00B0677B">
      <w:pPr>
        <w:jc w:val="both"/>
        <w:rPr>
          <w:rFonts w:ascii="Arial" w:hAnsi="Arial" w:cs="Arial"/>
        </w:rPr>
      </w:pPr>
      <w:r>
        <w:rPr>
          <w:rFonts w:ascii="Arial" w:hAnsi="Arial" w:cs="Arial"/>
        </w:rPr>
        <w:t xml:space="preserve">Q4. </w:t>
      </w:r>
    </w:p>
    <w:p w14:paraId="0CD0449E" w14:textId="128812AA" w:rsidR="00005291" w:rsidRDefault="00DC2176" w:rsidP="00BE2D97">
      <w:pPr>
        <w:jc w:val="both"/>
        <w:rPr>
          <w:rFonts w:ascii="Arial" w:hAnsi="Arial" w:cs="Arial"/>
        </w:rPr>
      </w:pPr>
      <w:r>
        <w:rPr>
          <w:rFonts w:ascii="Arial" w:hAnsi="Arial" w:cs="Arial"/>
        </w:rPr>
        <w:t>Automated decision making and profiling was an issue which was addressed in the 2018 GDPR</w:t>
      </w:r>
      <w:r w:rsidR="00BC0500">
        <w:rPr>
          <w:rFonts w:ascii="Arial" w:hAnsi="Arial" w:cs="Arial"/>
        </w:rPr>
        <w:t xml:space="preserve"> which states “</w:t>
      </w:r>
      <w:r w:rsidR="00BC0500" w:rsidRPr="00BC0500">
        <w:rPr>
          <w:rFonts w:ascii="Arial" w:hAnsi="Arial" w:cs="Arial"/>
        </w:rPr>
        <w:t>Article 22 of the GDPR has additional rules to protect individuals if you are carrying out solely automated decision-making that has legal or similarly significant effects on them.</w:t>
      </w:r>
      <w:r w:rsidR="00BC0500">
        <w:rPr>
          <w:rFonts w:ascii="Arial" w:hAnsi="Arial" w:cs="Arial"/>
        </w:rPr>
        <w:t xml:space="preserve">” </w:t>
      </w:r>
      <w:r w:rsidR="00BC0500" w:rsidRPr="00BC0500">
        <w:rPr>
          <w:rFonts w:ascii="Arial" w:hAnsi="Arial" w:cs="Arial"/>
          <w:vertAlign w:val="superscript"/>
        </w:rPr>
        <w:t>[</w:t>
      </w:r>
      <w:r w:rsidR="00923A6F">
        <w:rPr>
          <w:rFonts w:ascii="Arial" w:hAnsi="Arial" w:cs="Arial"/>
          <w:vertAlign w:val="superscript"/>
        </w:rPr>
        <w:t>7</w:t>
      </w:r>
      <w:r w:rsidR="00BC0500" w:rsidRPr="00BC0500">
        <w:rPr>
          <w:rFonts w:ascii="Arial" w:hAnsi="Arial" w:cs="Arial"/>
          <w:vertAlign w:val="superscript"/>
        </w:rPr>
        <w:t>]</w:t>
      </w:r>
      <w:r w:rsidR="00BC0500">
        <w:rPr>
          <w:rFonts w:ascii="Arial" w:hAnsi="Arial" w:cs="Arial"/>
          <w:vertAlign w:val="superscript"/>
        </w:rPr>
        <w:t xml:space="preserve"> </w:t>
      </w:r>
      <w:r w:rsidR="007D3E8D">
        <w:rPr>
          <w:rFonts w:ascii="Arial" w:hAnsi="Arial" w:cs="Arial"/>
        </w:rPr>
        <w:t xml:space="preserve">Since the company wants to make movie recommendations to their user’s by comparing the similarities of the profiles it directly addresses to this issue. For the company to allow it to proceed forward with the addition of this feature they need to clearly state their </w:t>
      </w:r>
      <w:r w:rsidR="007D3E8D" w:rsidRPr="00857B39">
        <w:rPr>
          <w:rFonts w:ascii="Arial" w:hAnsi="Arial" w:cs="Arial"/>
          <w:b/>
          <w:bCs/>
        </w:rPr>
        <w:t>intentions</w:t>
      </w:r>
      <w:r w:rsidR="007D3E8D">
        <w:rPr>
          <w:rFonts w:ascii="Arial" w:hAnsi="Arial" w:cs="Arial"/>
        </w:rPr>
        <w:t xml:space="preserve"> of the new feature and they need to have the individual’s </w:t>
      </w:r>
      <w:r w:rsidR="007D3E8D" w:rsidRPr="00857B39">
        <w:rPr>
          <w:rFonts w:ascii="Arial" w:hAnsi="Arial" w:cs="Arial"/>
          <w:b/>
          <w:bCs/>
        </w:rPr>
        <w:t xml:space="preserve">explicit </w:t>
      </w:r>
      <w:r w:rsidR="00587957" w:rsidRPr="00857B39">
        <w:rPr>
          <w:rFonts w:ascii="Arial" w:hAnsi="Arial" w:cs="Arial"/>
          <w:b/>
          <w:bCs/>
        </w:rPr>
        <w:t>consent</w:t>
      </w:r>
      <w:r w:rsidR="007D3E8D">
        <w:rPr>
          <w:rFonts w:ascii="Arial" w:hAnsi="Arial" w:cs="Arial"/>
        </w:rPr>
        <w:t xml:space="preserve"> </w:t>
      </w:r>
      <w:r w:rsidR="007D3E8D" w:rsidRPr="00BC0500">
        <w:rPr>
          <w:rFonts w:ascii="Arial" w:hAnsi="Arial" w:cs="Arial"/>
          <w:vertAlign w:val="superscript"/>
        </w:rPr>
        <w:t>[</w:t>
      </w:r>
      <w:r w:rsidR="00923A6F">
        <w:rPr>
          <w:rFonts w:ascii="Arial" w:hAnsi="Arial" w:cs="Arial"/>
          <w:vertAlign w:val="superscript"/>
        </w:rPr>
        <w:t>8</w:t>
      </w:r>
      <w:r w:rsidR="00941C4D">
        <w:rPr>
          <w:rFonts w:ascii="Arial" w:hAnsi="Arial" w:cs="Arial"/>
          <w:vertAlign w:val="superscript"/>
        </w:rPr>
        <w:t>]</w:t>
      </w:r>
      <w:r w:rsidR="00D87F34">
        <w:rPr>
          <w:rFonts w:ascii="Arial" w:hAnsi="Arial" w:cs="Arial"/>
          <w:vertAlign w:val="superscript"/>
        </w:rPr>
        <w:t xml:space="preserve"> </w:t>
      </w:r>
      <w:r w:rsidR="00D87F34">
        <w:rPr>
          <w:rFonts w:ascii="Arial" w:hAnsi="Arial" w:cs="Arial"/>
        </w:rPr>
        <w:t>.</w:t>
      </w:r>
    </w:p>
    <w:p w14:paraId="0940CBFE" w14:textId="77777777" w:rsidR="00BE2D97" w:rsidRDefault="00BE2D97" w:rsidP="00BE2D97">
      <w:pPr>
        <w:jc w:val="both"/>
        <w:rPr>
          <w:rFonts w:ascii="Arial" w:hAnsi="Arial" w:cs="Arial"/>
        </w:rPr>
      </w:pPr>
    </w:p>
    <w:p w14:paraId="6C937DE6" w14:textId="373916FB" w:rsidR="00E60AB7" w:rsidRDefault="00E60AB7" w:rsidP="00B0677B">
      <w:pPr>
        <w:jc w:val="both"/>
        <w:rPr>
          <w:rFonts w:ascii="Arial" w:hAnsi="Arial" w:cs="Arial"/>
        </w:rPr>
      </w:pPr>
      <w:r>
        <w:rPr>
          <w:rFonts w:ascii="Arial" w:hAnsi="Arial" w:cs="Arial"/>
        </w:rPr>
        <w:t>Q5.</w:t>
      </w:r>
    </w:p>
    <w:p w14:paraId="77E51058" w14:textId="4D85F313" w:rsidR="00822B75" w:rsidRDefault="00885EA4" w:rsidP="00B0677B">
      <w:pPr>
        <w:jc w:val="both"/>
        <w:rPr>
          <w:rFonts w:ascii="Arial" w:hAnsi="Arial" w:cs="Arial"/>
        </w:rPr>
      </w:pPr>
      <w:r>
        <w:rPr>
          <w:rFonts w:ascii="Arial" w:hAnsi="Arial" w:cs="Arial"/>
        </w:rPr>
        <w:t>The GDPR contains the ‘Right to Erasure’ where each individual can ask for their personal data to be erased whilst still abiding to some restrictions</w:t>
      </w:r>
      <w:r w:rsidR="00B402C3">
        <w:rPr>
          <w:rFonts w:ascii="Arial" w:hAnsi="Arial" w:cs="Arial"/>
        </w:rPr>
        <w:t xml:space="preserve"> </w:t>
      </w:r>
      <w:r w:rsidR="00B402C3" w:rsidRPr="00B402C3">
        <w:rPr>
          <w:rFonts w:ascii="Arial" w:hAnsi="Arial" w:cs="Arial"/>
          <w:vertAlign w:val="superscript"/>
        </w:rPr>
        <w:t>[</w:t>
      </w:r>
      <w:r w:rsidR="00AB5549">
        <w:rPr>
          <w:rFonts w:ascii="Arial" w:hAnsi="Arial" w:cs="Arial"/>
          <w:vertAlign w:val="superscript"/>
        </w:rPr>
        <w:t>9</w:t>
      </w:r>
      <w:r w:rsidR="00B402C3" w:rsidRPr="00B402C3">
        <w:rPr>
          <w:rFonts w:ascii="Arial" w:hAnsi="Arial" w:cs="Arial"/>
          <w:vertAlign w:val="superscript"/>
        </w:rPr>
        <w:t>]</w:t>
      </w:r>
      <w:r w:rsidR="00B402C3">
        <w:rPr>
          <w:rFonts w:ascii="Arial" w:hAnsi="Arial" w:cs="Arial"/>
          <w:vertAlign w:val="superscript"/>
        </w:rPr>
        <w:t xml:space="preserve"> </w:t>
      </w:r>
      <w:r w:rsidR="00B402C3">
        <w:rPr>
          <w:rFonts w:ascii="Arial" w:hAnsi="Arial" w:cs="Arial"/>
        </w:rPr>
        <w:t xml:space="preserve">. </w:t>
      </w:r>
      <w:r>
        <w:rPr>
          <w:rFonts w:ascii="Arial" w:hAnsi="Arial" w:cs="Arial"/>
        </w:rPr>
        <w:t>It was believed that erasure meant the complete deletion of data</w:t>
      </w:r>
      <w:r w:rsidR="00212DFA">
        <w:rPr>
          <w:rFonts w:ascii="Arial" w:hAnsi="Arial" w:cs="Arial"/>
        </w:rPr>
        <w:t xml:space="preserve"> but as</w:t>
      </w:r>
      <w:r>
        <w:rPr>
          <w:rFonts w:ascii="Arial" w:hAnsi="Arial" w:cs="Arial"/>
        </w:rPr>
        <w:t xml:space="preserve"> it turns out with the process of data anonymization it is enough to deem that the data was ‘erased’</w:t>
      </w:r>
      <w:r w:rsidR="00206D03">
        <w:rPr>
          <w:rFonts w:ascii="Arial" w:hAnsi="Arial" w:cs="Arial"/>
        </w:rPr>
        <w:t xml:space="preserve"> </w:t>
      </w:r>
      <w:r w:rsidR="00206D03" w:rsidRPr="00206D03">
        <w:rPr>
          <w:rFonts w:ascii="Arial" w:hAnsi="Arial" w:cs="Arial"/>
          <w:vertAlign w:val="superscript"/>
        </w:rPr>
        <w:t>[</w:t>
      </w:r>
      <w:r w:rsidR="00AB5549">
        <w:rPr>
          <w:rFonts w:ascii="Arial" w:hAnsi="Arial" w:cs="Arial"/>
          <w:vertAlign w:val="superscript"/>
        </w:rPr>
        <w:t>10</w:t>
      </w:r>
      <w:r w:rsidR="00206D03" w:rsidRPr="00206D03">
        <w:rPr>
          <w:rFonts w:ascii="Arial" w:hAnsi="Arial" w:cs="Arial"/>
          <w:vertAlign w:val="superscript"/>
        </w:rPr>
        <w:t>]</w:t>
      </w:r>
      <w:r>
        <w:rPr>
          <w:rFonts w:ascii="Arial" w:hAnsi="Arial" w:cs="Arial"/>
        </w:rPr>
        <w:t xml:space="preserve"> given that in no way can the data be used to re-construct the identity of the user.</w:t>
      </w:r>
      <w:r w:rsidR="00206D03">
        <w:rPr>
          <w:rFonts w:ascii="Arial" w:hAnsi="Arial" w:cs="Arial"/>
        </w:rPr>
        <w:t xml:space="preserve"> </w:t>
      </w:r>
    </w:p>
    <w:p w14:paraId="2FFDEAEF" w14:textId="77777777" w:rsidR="00EA00E6" w:rsidRDefault="00822B75" w:rsidP="00B0677B">
      <w:pPr>
        <w:jc w:val="both"/>
        <w:rPr>
          <w:rFonts w:ascii="Arial" w:hAnsi="Arial" w:cs="Arial"/>
        </w:rPr>
      </w:pPr>
      <w:r>
        <w:rPr>
          <w:rFonts w:ascii="Arial" w:hAnsi="Arial" w:cs="Arial"/>
        </w:rPr>
        <w:t>The issue is that</w:t>
      </w:r>
      <w:r w:rsidR="00206D03">
        <w:rPr>
          <w:rFonts w:ascii="Arial" w:hAnsi="Arial" w:cs="Arial"/>
        </w:rPr>
        <w:t xml:space="preserve"> the company wants to remove all personal data from the user</w:t>
      </w:r>
      <w:r>
        <w:rPr>
          <w:rFonts w:ascii="Arial" w:hAnsi="Arial" w:cs="Arial"/>
        </w:rPr>
        <w:t xml:space="preserve"> trying to make their profiles ‘Anonymous’, but</w:t>
      </w:r>
      <w:r w:rsidR="00212DFA">
        <w:rPr>
          <w:rFonts w:ascii="Arial" w:hAnsi="Arial" w:cs="Arial"/>
        </w:rPr>
        <w:t xml:space="preserve"> </w:t>
      </w:r>
      <w:r w:rsidR="00206D03">
        <w:rPr>
          <w:rFonts w:ascii="Arial" w:hAnsi="Arial" w:cs="Arial"/>
        </w:rPr>
        <w:t xml:space="preserve">their ratings and review comments will still be present </w:t>
      </w:r>
      <w:r w:rsidR="009B5215">
        <w:rPr>
          <w:rFonts w:ascii="Arial" w:hAnsi="Arial" w:cs="Arial"/>
        </w:rPr>
        <w:t>which</w:t>
      </w:r>
      <w:r w:rsidR="00206D03">
        <w:rPr>
          <w:rFonts w:ascii="Arial" w:hAnsi="Arial" w:cs="Arial"/>
        </w:rPr>
        <w:t xml:space="preserve"> are enough information to re-identify </w:t>
      </w:r>
      <w:r w:rsidR="00CF25FF">
        <w:rPr>
          <w:rFonts w:ascii="Arial" w:hAnsi="Arial" w:cs="Arial"/>
        </w:rPr>
        <w:t>falling</w:t>
      </w:r>
      <w:r w:rsidR="00B402C3">
        <w:rPr>
          <w:rFonts w:ascii="Arial" w:hAnsi="Arial" w:cs="Arial"/>
        </w:rPr>
        <w:t xml:space="preserve"> in the category of pseudonymization</w:t>
      </w:r>
      <w:r w:rsidR="009B5215">
        <w:rPr>
          <w:rFonts w:ascii="Arial" w:hAnsi="Arial" w:cs="Arial"/>
        </w:rPr>
        <w:t>.</w:t>
      </w:r>
      <w:r w:rsidR="00B402C3">
        <w:rPr>
          <w:rFonts w:ascii="Arial" w:hAnsi="Arial" w:cs="Arial"/>
        </w:rPr>
        <w:t xml:space="preserve"> </w:t>
      </w:r>
    </w:p>
    <w:p w14:paraId="484467B8" w14:textId="46D21417" w:rsidR="006A16EF" w:rsidRDefault="0061411F" w:rsidP="00B0677B">
      <w:pPr>
        <w:jc w:val="both"/>
        <w:rPr>
          <w:rFonts w:ascii="Arial" w:hAnsi="Arial" w:cs="Arial"/>
        </w:rPr>
      </w:pPr>
      <w:r>
        <w:rPr>
          <w:rFonts w:ascii="Arial" w:hAnsi="Arial" w:cs="Arial"/>
        </w:rPr>
        <w:t xml:space="preserve">Although </w:t>
      </w:r>
      <w:r w:rsidR="002A77F9">
        <w:rPr>
          <w:rFonts w:ascii="Arial" w:hAnsi="Arial" w:cs="Arial"/>
        </w:rPr>
        <w:t xml:space="preserve">the company </w:t>
      </w:r>
      <w:r>
        <w:rPr>
          <w:rFonts w:ascii="Arial" w:hAnsi="Arial" w:cs="Arial"/>
        </w:rPr>
        <w:t>request</w:t>
      </w:r>
      <w:r w:rsidR="002A77F9">
        <w:rPr>
          <w:rFonts w:ascii="Arial" w:hAnsi="Arial" w:cs="Arial"/>
        </w:rPr>
        <w:t>s</w:t>
      </w:r>
      <w:r>
        <w:rPr>
          <w:rFonts w:ascii="Arial" w:hAnsi="Arial" w:cs="Arial"/>
        </w:rPr>
        <w:t xml:space="preserve"> for consent</w:t>
      </w:r>
      <w:r w:rsidR="002A77F9">
        <w:rPr>
          <w:rFonts w:ascii="Arial" w:hAnsi="Arial" w:cs="Arial"/>
        </w:rPr>
        <w:t xml:space="preserve"> to use their ‘Anonymous’ data</w:t>
      </w:r>
      <w:r>
        <w:rPr>
          <w:rFonts w:ascii="Arial" w:hAnsi="Arial" w:cs="Arial"/>
        </w:rPr>
        <w:t xml:space="preserve"> </w:t>
      </w:r>
      <w:r w:rsidR="002C2667">
        <w:rPr>
          <w:rFonts w:ascii="Arial" w:hAnsi="Arial" w:cs="Arial"/>
        </w:rPr>
        <w:t>it is</w:t>
      </w:r>
      <w:r w:rsidR="00596615">
        <w:rPr>
          <w:rFonts w:ascii="Arial" w:hAnsi="Arial" w:cs="Arial"/>
        </w:rPr>
        <w:t xml:space="preserve"> just not true since their data are only </w:t>
      </w:r>
      <w:r w:rsidR="00596615" w:rsidRPr="0061411F">
        <w:rPr>
          <w:rFonts w:ascii="Arial" w:hAnsi="Arial" w:cs="Arial"/>
        </w:rPr>
        <w:t>Pseudonymous</w:t>
      </w:r>
      <w:r w:rsidR="00596615">
        <w:rPr>
          <w:rFonts w:ascii="Arial" w:hAnsi="Arial" w:cs="Arial"/>
        </w:rPr>
        <w:t>. This means that simply removing the personal data of the users but still keeping the ratings and reviews is not sufficient in following the GDPR rules.</w:t>
      </w:r>
    </w:p>
    <w:p w14:paraId="13E81180" w14:textId="77777777" w:rsidR="005C69CA" w:rsidRDefault="00860350" w:rsidP="00B0677B">
      <w:pPr>
        <w:jc w:val="both"/>
        <w:rPr>
          <w:rFonts w:ascii="Arial" w:hAnsi="Arial" w:cs="Arial"/>
        </w:rPr>
      </w:pPr>
      <w:r>
        <w:rPr>
          <w:rFonts w:ascii="Arial" w:hAnsi="Arial" w:cs="Arial"/>
        </w:rPr>
        <w:lastRenderedPageBreak/>
        <w:t>Q6.</w:t>
      </w:r>
    </w:p>
    <w:p w14:paraId="58ACBEEF" w14:textId="1C8AA374" w:rsidR="005C69CA" w:rsidRDefault="00B0677B" w:rsidP="00B0677B">
      <w:pPr>
        <w:jc w:val="both"/>
        <w:rPr>
          <w:rFonts w:ascii="Arial" w:hAnsi="Arial" w:cs="Arial"/>
        </w:rPr>
      </w:pPr>
      <w:r>
        <w:rPr>
          <w:rFonts w:ascii="Arial" w:hAnsi="Arial" w:cs="Arial"/>
        </w:rPr>
        <w:t>Allowing users to modify a generic avatar is a reasonable approach</w:t>
      </w:r>
      <w:r w:rsidR="00BC5555">
        <w:rPr>
          <w:rFonts w:ascii="Arial" w:hAnsi="Arial" w:cs="Arial"/>
        </w:rPr>
        <w:t xml:space="preserve"> but</w:t>
      </w:r>
      <w:r>
        <w:rPr>
          <w:rFonts w:ascii="Arial" w:hAnsi="Arial" w:cs="Arial"/>
        </w:rPr>
        <w:t>,</w:t>
      </w:r>
      <w:r w:rsidR="00BC5555">
        <w:rPr>
          <w:rFonts w:ascii="Arial" w:hAnsi="Arial" w:cs="Arial"/>
        </w:rPr>
        <w:t xml:space="preserve"> </w:t>
      </w:r>
      <w:r>
        <w:rPr>
          <w:rFonts w:ascii="Arial" w:hAnsi="Arial" w:cs="Arial"/>
        </w:rPr>
        <w:t>the issue is</w:t>
      </w:r>
      <w:r w:rsidR="009D096C">
        <w:rPr>
          <w:rFonts w:ascii="Arial" w:hAnsi="Arial" w:cs="Arial"/>
        </w:rPr>
        <w:t xml:space="preserve"> the automated</w:t>
      </w:r>
      <w:r>
        <w:rPr>
          <w:rFonts w:ascii="Arial" w:hAnsi="Arial" w:cs="Arial"/>
        </w:rPr>
        <w:t xml:space="preserve"> constructi</w:t>
      </w:r>
      <w:r w:rsidR="009D096C">
        <w:rPr>
          <w:rFonts w:ascii="Arial" w:hAnsi="Arial" w:cs="Arial"/>
        </w:rPr>
        <w:t>on of</w:t>
      </w:r>
      <w:r>
        <w:rPr>
          <w:rFonts w:ascii="Arial" w:hAnsi="Arial" w:cs="Arial"/>
        </w:rPr>
        <w:t xml:space="preserve"> </w:t>
      </w:r>
      <w:r w:rsidR="00C0060D">
        <w:rPr>
          <w:rFonts w:ascii="Arial" w:hAnsi="Arial" w:cs="Arial"/>
        </w:rPr>
        <w:t>the</w:t>
      </w:r>
      <w:r w:rsidR="009D096C">
        <w:rPr>
          <w:rFonts w:ascii="Arial" w:hAnsi="Arial" w:cs="Arial"/>
        </w:rPr>
        <w:t xml:space="preserve"> initial</w:t>
      </w:r>
      <w:r>
        <w:rPr>
          <w:rFonts w:ascii="Arial" w:hAnsi="Arial" w:cs="Arial"/>
        </w:rPr>
        <w:t xml:space="preserve"> face using provided information.</w:t>
      </w:r>
      <w:r w:rsidR="00FF1057">
        <w:rPr>
          <w:rFonts w:ascii="Arial" w:hAnsi="Arial" w:cs="Arial"/>
        </w:rPr>
        <w:t xml:space="preserve"> It violates the principle </w:t>
      </w:r>
      <w:r w:rsidR="003776C0">
        <w:rPr>
          <w:rFonts w:ascii="Arial" w:hAnsi="Arial" w:cs="Arial"/>
        </w:rPr>
        <w:t xml:space="preserve">of </w:t>
      </w:r>
      <w:r w:rsidR="00FF1057" w:rsidRPr="00FF1057">
        <w:rPr>
          <w:rFonts w:ascii="Arial" w:hAnsi="Arial" w:cs="Arial"/>
          <w:b/>
          <w:bCs/>
        </w:rPr>
        <w:t>Integrity and Confidentiality</w:t>
      </w:r>
      <w:r w:rsidR="00C0060D">
        <w:rPr>
          <w:rFonts w:ascii="Arial" w:hAnsi="Arial" w:cs="Arial"/>
        </w:rPr>
        <w:t xml:space="preserve"> as using the information they have provided can potentially be used to identify an individual. “</w:t>
      </w:r>
      <w:r w:rsidR="00C0060D" w:rsidRPr="00C0060D">
        <w:rPr>
          <w:rFonts w:ascii="Arial" w:hAnsi="Arial" w:cs="Arial"/>
        </w:rPr>
        <w:t>GDPR only concerns with the processing of personal data that relates to a natural person that allows identification of an individual directly or indirectly via that information.</w:t>
      </w:r>
      <w:r w:rsidR="00C0060D">
        <w:rPr>
          <w:rFonts w:ascii="Arial" w:hAnsi="Arial" w:cs="Arial"/>
        </w:rPr>
        <w:t xml:space="preserve">” </w:t>
      </w:r>
      <w:r w:rsidR="00C0060D" w:rsidRPr="00C0060D">
        <w:rPr>
          <w:rFonts w:ascii="Arial" w:hAnsi="Arial" w:cs="Arial"/>
          <w:vertAlign w:val="superscript"/>
        </w:rPr>
        <w:t>[</w:t>
      </w:r>
      <w:r w:rsidR="00875585">
        <w:rPr>
          <w:rFonts w:ascii="Arial" w:hAnsi="Arial" w:cs="Arial"/>
          <w:vertAlign w:val="superscript"/>
        </w:rPr>
        <w:t>1</w:t>
      </w:r>
      <w:r w:rsidR="00375BA6">
        <w:rPr>
          <w:rFonts w:ascii="Arial" w:hAnsi="Arial" w:cs="Arial"/>
          <w:vertAlign w:val="superscript"/>
        </w:rPr>
        <w:t>0</w:t>
      </w:r>
      <w:r w:rsidR="00C0060D" w:rsidRPr="00C0060D">
        <w:rPr>
          <w:rFonts w:ascii="Arial" w:hAnsi="Arial" w:cs="Arial"/>
          <w:vertAlign w:val="superscript"/>
        </w:rPr>
        <w:t>]</w:t>
      </w:r>
      <w:r w:rsidR="00C0060D">
        <w:rPr>
          <w:rFonts w:ascii="Arial" w:hAnsi="Arial" w:cs="Arial"/>
          <w:vertAlign w:val="superscript"/>
        </w:rPr>
        <w:t xml:space="preserve"> </w:t>
      </w:r>
      <w:r w:rsidR="00C0060D">
        <w:rPr>
          <w:rFonts w:ascii="Arial" w:hAnsi="Arial" w:cs="Arial"/>
        </w:rPr>
        <w:t xml:space="preserve">. This avatar will be </w:t>
      </w:r>
      <w:r w:rsidR="00EF0D72">
        <w:rPr>
          <w:rFonts w:ascii="Arial" w:hAnsi="Arial" w:cs="Arial"/>
        </w:rPr>
        <w:t>a</w:t>
      </w:r>
      <w:r w:rsidR="00C0060D">
        <w:rPr>
          <w:rFonts w:ascii="Arial" w:hAnsi="Arial" w:cs="Arial"/>
        </w:rPr>
        <w:t xml:space="preserve"> </w:t>
      </w:r>
      <w:r w:rsidR="00A53544">
        <w:rPr>
          <w:rFonts w:ascii="Arial" w:hAnsi="Arial" w:cs="Arial"/>
        </w:rPr>
        <w:t>direct</w:t>
      </w:r>
      <w:r w:rsidR="00C0060D">
        <w:rPr>
          <w:rFonts w:ascii="Arial" w:hAnsi="Arial" w:cs="Arial"/>
        </w:rPr>
        <w:t xml:space="preserve"> link with the user which is a significant concern according to the GDPR</w:t>
      </w:r>
      <w:r w:rsidR="00EE0C1A">
        <w:rPr>
          <w:rFonts w:ascii="Arial" w:hAnsi="Arial" w:cs="Arial"/>
        </w:rPr>
        <w:t>.</w:t>
      </w:r>
    </w:p>
    <w:p w14:paraId="39A988AC" w14:textId="77777777" w:rsidR="00692F02" w:rsidRDefault="00692F02" w:rsidP="00B0677B">
      <w:pPr>
        <w:jc w:val="both"/>
        <w:rPr>
          <w:rFonts w:ascii="Arial" w:hAnsi="Arial" w:cs="Arial"/>
        </w:rPr>
      </w:pPr>
    </w:p>
    <w:p w14:paraId="6D293B68" w14:textId="32FF5653" w:rsidR="00B32D4B" w:rsidRDefault="00B32D4B" w:rsidP="00B0677B">
      <w:pPr>
        <w:jc w:val="both"/>
        <w:rPr>
          <w:rFonts w:ascii="Arial" w:hAnsi="Arial" w:cs="Arial"/>
        </w:rPr>
      </w:pPr>
      <w:r>
        <w:rPr>
          <w:rFonts w:ascii="Arial" w:hAnsi="Arial" w:cs="Arial"/>
        </w:rPr>
        <w:t>Q7.</w:t>
      </w:r>
    </w:p>
    <w:p w14:paraId="6F4524AB" w14:textId="28A4FB63" w:rsidR="00753150" w:rsidRDefault="00404006" w:rsidP="00293883">
      <w:pPr>
        <w:jc w:val="both"/>
        <w:rPr>
          <w:rFonts w:ascii="Arial" w:hAnsi="Arial" w:cs="Arial"/>
        </w:rPr>
      </w:pPr>
      <w:r>
        <w:rPr>
          <w:rFonts w:ascii="Arial" w:hAnsi="Arial" w:cs="Arial"/>
        </w:rPr>
        <w:t xml:space="preserve">An approach to overcome this profiling issue is with the use of </w:t>
      </w:r>
      <w:r w:rsidR="00120E35">
        <w:rPr>
          <w:rFonts w:ascii="Arial" w:hAnsi="Arial" w:cs="Arial"/>
        </w:rPr>
        <w:t xml:space="preserve">pre-defined collection of images </w:t>
      </w:r>
      <w:r w:rsidR="00120E35" w:rsidRPr="00D91284">
        <w:rPr>
          <w:rFonts w:ascii="Arial" w:hAnsi="Arial" w:cs="Arial"/>
          <w:vertAlign w:val="superscript"/>
        </w:rPr>
        <w:t>[1</w:t>
      </w:r>
      <w:r w:rsidR="00375BA6">
        <w:rPr>
          <w:rFonts w:ascii="Arial" w:hAnsi="Arial" w:cs="Arial"/>
          <w:vertAlign w:val="superscript"/>
        </w:rPr>
        <w:t>1</w:t>
      </w:r>
      <w:r w:rsidR="00120E35" w:rsidRPr="00D91284">
        <w:rPr>
          <w:rFonts w:ascii="Arial" w:hAnsi="Arial" w:cs="Arial"/>
          <w:vertAlign w:val="superscript"/>
        </w:rPr>
        <w:t>]</w:t>
      </w:r>
      <w:r w:rsidR="00120E35">
        <w:rPr>
          <w:rFonts w:ascii="Arial" w:hAnsi="Arial" w:cs="Arial"/>
        </w:rPr>
        <w:t xml:space="preserve"> </w:t>
      </w:r>
      <w:r w:rsidR="00754240">
        <w:rPr>
          <w:rFonts w:ascii="Arial" w:hAnsi="Arial" w:cs="Arial"/>
        </w:rPr>
        <w:t xml:space="preserve">but </w:t>
      </w:r>
      <w:r w:rsidR="0026005B">
        <w:rPr>
          <w:rFonts w:ascii="Arial" w:hAnsi="Arial" w:cs="Arial"/>
        </w:rPr>
        <w:t xml:space="preserve">with the addition of a </w:t>
      </w:r>
      <w:r w:rsidR="0026005B" w:rsidRPr="0026005B">
        <w:rPr>
          <w:rFonts w:ascii="Arial" w:hAnsi="Arial" w:cs="Arial"/>
        </w:rPr>
        <w:t>unique system generated avatar</w:t>
      </w:r>
      <w:r w:rsidR="00E35F8A">
        <w:rPr>
          <w:rFonts w:ascii="Arial" w:hAnsi="Arial" w:cs="Arial"/>
        </w:rPr>
        <w:t>s</w:t>
      </w:r>
      <w:r w:rsidR="008223C8">
        <w:rPr>
          <w:rFonts w:ascii="Arial" w:hAnsi="Arial" w:cs="Arial"/>
        </w:rPr>
        <w:t>. Instead of choosing a</w:t>
      </w:r>
      <w:r w:rsidR="003C77AF">
        <w:rPr>
          <w:rFonts w:ascii="Arial" w:hAnsi="Arial" w:cs="Arial"/>
        </w:rPr>
        <w:t xml:space="preserve"> completely</w:t>
      </w:r>
      <w:r w:rsidR="008223C8">
        <w:rPr>
          <w:rFonts w:ascii="Arial" w:hAnsi="Arial" w:cs="Arial"/>
        </w:rPr>
        <w:t xml:space="preserve"> random image the user may choose something that relates better to them. </w:t>
      </w:r>
      <w:r w:rsidR="00754240">
        <w:rPr>
          <w:rFonts w:ascii="Arial" w:hAnsi="Arial" w:cs="Arial"/>
        </w:rPr>
        <w:t xml:space="preserve">This can be in the form of their favourite </w:t>
      </w:r>
      <w:r w:rsidR="00120E35">
        <w:rPr>
          <w:rFonts w:ascii="Arial" w:hAnsi="Arial" w:cs="Arial"/>
        </w:rPr>
        <w:t>movie, show or genre</w:t>
      </w:r>
      <w:r w:rsidR="005C43F5">
        <w:rPr>
          <w:rFonts w:ascii="Arial" w:hAnsi="Arial" w:cs="Arial"/>
        </w:rPr>
        <w:t>. Th</w:t>
      </w:r>
      <w:r w:rsidR="003C77AF">
        <w:rPr>
          <w:rFonts w:ascii="Arial" w:hAnsi="Arial" w:cs="Arial"/>
        </w:rPr>
        <w:t>e avatar generator</w:t>
      </w:r>
      <w:r w:rsidR="005C43F5">
        <w:rPr>
          <w:rFonts w:ascii="Arial" w:hAnsi="Arial" w:cs="Arial"/>
        </w:rPr>
        <w:t xml:space="preserve"> can</w:t>
      </w:r>
      <w:r w:rsidR="003C77AF">
        <w:rPr>
          <w:rFonts w:ascii="Arial" w:hAnsi="Arial" w:cs="Arial"/>
        </w:rPr>
        <w:t xml:space="preserve"> then</w:t>
      </w:r>
      <w:r w:rsidR="005C43F5">
        <w:rPr>
          <w:rFonts w:ascii="Arial" w:hAnsi="Arial" w:cs="Arial"/>
        </w:rPr>
        <w:t xml:space="preserve"> provide the user with</w:t>
      </w:r>
      <w:r w:rsidR="003C77AF">
        <w:rPr>
          <w:rFonts w:ascii="Arial" w:hAnsi="Arial" w:cs="Arial"/>
        </w:rPr>
        <w:t xml:space="preserve"> a</w:t>
      </w:r>
      <w:r w:rsidR="005C43F5">
        <w:rPr>
          <w:rFonts w:ascii="Arial" w:hAnsi="Arial" w:cs="Arial"/>
        </w:rPr>
        <w:t xml:space="preserve"> more personalized avatar but at </w:t>
      </w:r>
      <w:r w:rsidR="00EF3DFD">
        <w:rPr>
          <w:rFonts w:ascii="Arial" w:hAnsi="Arial" w:cs="Arial"/>
        </w:rPr>
        <w:t>the</w:t>
      </w:r>
      <w:r w:rsidR="005C43F5">
        <w:rPr>
          <w:rFonts w:ascii="Arial" w:hAnsi="Arial" w:cs="Arial"/>
        </w:rPr>
        <w:t xml:space="preserve"> same time be general enough that</w:t>
      </w:r>
      <w:r w:rsidR="003C77AF">
        <w:rPr>
          <w:rFonts w:ascii="Arial" w:hAnsi="Arial" w:cs="Arial"/>
        </w:rPr>
        <w:t xml:space="preserve"> it</w:t>
      </w:r>
      <w:r w:rsidR="005C43F5">
        <w:rPr>
          <w:rFonts w:ascii="Arial" w:hAnsi="Arial" w:cs="Arial"/>
        </w:rPr>
        <w:t xml:space="preserve"> can never be used to re-identify them with just using the avatar as the piece of personal information</w:t>
      </w:r>
      <w:r w:rsidR="00293883">
        <w:rPr>
          <w:rFonts w:ascii="Arial" w:hAnsi="Arial" w:cs="Arial"/>
        </w:rPr>
        <w:t xml:space="preserve">, thus </w:t>
      </w:r>
      <w:r w:rsidR="00754240">
        <w:rPr>
          <w:rFonts w:ascii="Arial" w:hAnsi="Arial" w:cs="Arial"/>
        </w:rPr>
        <w:t>it correctly follows the rules of the GDPR.</w:t>
      </w:r>
    </w:p>
    <w:p w14:paraId="3DE5A18F" w14:textId="2D73AF5C" w:rsidR="00EB19E6" w:rsidRDefault="00EB19E6" w:rsidP="00B0677B">
      <w:pPr>
        <w:jc w:val="both"/>
        <w:rPr>
          <w:rFonts w:ascii="Arial" w:hAnsi="Arial" w:cs="Arial"/>
        </w:rPr>
      </w:pPr>
    </w:p>
    <w:p w14:paraId="4A1B300B" w14:textId="100EE4C0" w:rsidR="00EB19E6" w:rsidRDefault="00EB19E6" w:rsidP="00B0677B">
      <w:pPr>
        <w:jc w:val="both"/>
        <w:rPr>
          <w:rFonts w:ascii="Arial" w:hAnsi="Arial" w:cs="Arial"/>
        </w:rPr>
      </w:pPr>
    </w:p>
    <w:p w14:paraId="266A498E" w14:textId="5694A214" w:rsidR="00EB19E6" w:rsidRDefault="00EB19E6" w:rsidP="00B0677B">
      <w:pPr>
        <w:jc w:val="both"/>
        <w:rPr>
          <w:rFonts w:ascii="Arial" w:hAnsi="Arial" w:cs="Arial"/>
        </w:rPr>
      </w:pPr>
    </w:p>
    <w:p w14:paraId="31A677F8" w14:textId="129BF36B" w:rsidR="00EB19E6" w:rsidRDefault="00EB19E6" w:rsidP="00BB5340">
      <w:pPr>
        <w:rPr>
          <w:rFonts w:ascii="Arial" w:hAnsi="Arial" w:cs="Arial"/>
        </w:rPr>
      </w:pPr>
      <w:r>
        <w:rPr>
          <w:rFonts w:ascii="Arial" w:hAnsi="Arial" w:cs="Arial"/>
        </w:rPr>
        <w:br w:type="page"/>
      </w:r>
    </w:p>
    <w:p w14:paraId="1D36201E" w14:textId="39163016" w:rsidR="007557D5" w:rsidRPr="001D1ACC" w:rsidRDefault="007557D5" w:rsidP="00495BDA">
      <w:pPr>
        <w:rPr>
          <w:rFonts w:ascii="Arial" w:hAnsi="Arial" w:cs="Arial"/>
          <w:sz w:val="28"/>
          <w:szCs w:val="28"/>
        </w:rPr>
      </w:pPr>
      <w:r w:rsidRPr="001D1ACC">
        <w:rPr>
          <w:rFonts w:ascii="Arial" w:hAnsi="Arial" w:cs="Arial"/>
          <w:sz w:val="28"/>
          <w:szCs w:val="28"/>
        </w:rPr>
        <w:lastRenderedPageBreak/>
        <w:t>References:</w:t>
      </w:r>
    </w:p>
    <w:p w14:paraId="7673EA6F" w14:textId="4810D294" w:rsidR="007557D5" w:rsidRPr="0081487A" w:rsidRDefault="007557D5" w:rsidP="00B762A5">
      <w:pPr>
        <w:tabs>
          <w:tab w:val="left" w:pos="1215"/>
        </w:tabs>
        <w:rPr>
          <w:rFonts w:ascii="Arial" w:hAnsi="Arial" w:cs="Arial"/>
          <w:sz w:val="20"/>
          <w:szCs w:val="20"/>
        </w:rPr>
      </w:pPr>
      <w:r w:rsidRPr="0081487A">
        <w:rPr>
          <w:rFonts w:ascii="Arial" w:hAnsi="Arial" w:cs="Arial"/>
          <w:sz w:val="20"/>
          <w:szCs w:val="20"/>
          <w:vertAlign w:val="superscript"/>
        </w:rPr>
        <w:t>[1]</w:t>
      </w:r>
      <w:r w:rsidRPr="0081487A">
        <w:rPr>
          <w:rFonts w:ascii="Arial" w:hAnsi="Arial" w:cs="Arial"/>
          <w:sz w:val="20"/>
          <w:szCs w:val="20"/>
        </w:rPr>
        <w:t xml:space="preserve"> Nibusinessinfo.co.uk. 2020. Data Protection Principles Under the GDPR | Nibusinessinfo.Co.Uk. [online] Available at: </w:t>
      </w:r>
      <w:hyperlink r:id="rId5" w:history="1">
        <w:r w:rsidR="004B05D7" w:rsidRPr="00F34166">
          <w:rPr>
            <w:rStyle w:val="Hyperlink"/>
          </w:rPr>
          <w:t>https://www.nibusinessinfo.co.uk/content/data-protection-principles-under-gdpr</w:t>
        </w:r>
      </w:hyperlink>
      <w:r w:rsidR="004B05D7">
        <w:t xml:space="preserve"> </w:t>
      </w:r>
      <w:r w:rsidR="003E3CD7" w:rsidRPr="003E3CD7">
        <w:t xml:space="preserve"> </w:t>
      </w:r>
      <w:r w:rsidR="004B05D7">
        <w:t xml:space="preserve"> </w:t>
      </w:r>
      <w:r w:rsidRPr="0081487A">
        <w:rPr>
          <w:rFonts w:ascii="Arial" w:hAnsi="Arial" w:cs="Arial"/>
          <w:sz w:val="20"/>
          <w:szCs w:val="20"/>
        </w:rPr>
        <w:t>[Accessed 27 December 2020].</w:t>
      </w:r>
    </w:p>
    <w:p w14:paraId="04A80B2D" w14:textId="015CD5B9" w:rsidR="00955659" w:rsidRDefault="00B762A5" w:rsidP="00B762A5">
      <w:pPr>
        <w:tabs>
          <w:tab w:val="left" w:pos="1215"/>
        </w:tabs>
        <w:rPr>
          <w:rFonts w:ascii="Arial" w:hAnsi="Arial" w:cs="Arial"/>
          <w:sz w:val="20"/>
          <w:szCs w:val="20"/>
        </w:rPr>
      </w:pPr>
      <w:r w:rsidRPr="0081487A">
        <w:rPr>
          <w:rFonts w:ascii="Arial" w:hAnsi="Arial" w:cs="Arial"/>
          <w:sz w:val="20"/>
          <w:szCs w:val="20"/>
          <w:vertAlign w:val="superscript"/>
        </w:rPr>
        <w:t>[2]</w:t>
      </w:r>
      <w:r w:rsidRPr="0081487A">
        <w:rPr>
          <w:rFonts w:ascii="Arial" w:hAnsi="Arial" w:cs="Arial"/>
          <w:sz w:val="20"/>
          <w:szCs w:val="20"/>
        </w:rPr>
        <w:t xml:space="preserve"> </w:t>
      </w:r>
      <w:r w:rsidR="00D81419" w:rsidRPr="0081487A">
        <w:rPr>
          <w:rFonts w:ascii="Arial" w:hAnsi="Arial" w:cs="Arial"/>
          <w:sz w:val="20"/>
          <w:szCs w:val="20"/>
        </w:rPr>
        <w:t xml:space="preserve">The Central Role of Organisational Accountability in Data Protection. </w:t>
      </w:r>
      <w:r w:rsidRPr="0081487A">
        <w:rPr>
          <w:rFonts w:ascii="Arial" w:hAnsi="Arial" w:cs="Arial"/>
          <w:sz w:val="20"/>
          <w:szCs w:val="20"/>
        </w:rPr>
        <w:t xml:space="preserve">Informationpolicycentre.com. 2020. [online] Available at: </w:t>
      </w:r>
      <w:hyperlink r:id="rId6" w:history="1">
        <w:r w:rsidRPr="0081487A">
          <w:rPr>
            <w:rStyle w:val="Hyperlink"/>
            <w:rFonts w:ascii="Arial" w:hAnsi="Arial" w:cs="Arial"/>
            <w:sz w:val="20"/>
            <w:szCs w:val="20"/>
          </w:rPr>
          <w:t>https://www.informationpolicycentre.com/uploads/5/7/1/0/57104281/cipl_accountability_paper_1_-_the_case_for_accountability_-_how_it_enables_effective_data_protection_and_trust_in_the_digital_society.pdf</w:t>
        </w:r>
      </w:hyperlink>
      <w:r w:rsidRPr="0081487A">
        <w:rPr>
          <w:rFonts w:ascii="Arial" w:hAnsi="Arial" w:cs="Arial"/>
          <w:sz w:val="20"/>
          <w:szCs w:val="20"/>
        </w:rPr>
        <w:t xml:space="preserve">  [Accessed 27 December 2020]</w:t>
      </w:r>
      <w:r w:rsidR="00752CA7" w:rsidRPr="0081487A">
        <w:rPr>
          <w:rFonts w:ascii="Arial" w:hAnsi="Arial" w:cs="Arial"/>
          <w:sz w:val="20"/>
          <w:szCs w:val="20"/>
        </w:rPr>
        <w:t xml:space="preserve"> (pp. 7-8).</w:t>
      </w:r>
    </w:p>
    <w:p w14:paraId="06E19D76" w14:textId="1DAC1111" w:rsidR="00F66A6D" w:rsidRDefault="00F66A6D" w:rsidP="00B762A5">
      <w:pPr>
        <w:tabs>
          <w:tab w:val="left" w:pos="1215"/>
        </w:tabs>
        <w:rPr>
          <w:rFonts w:ascii="Arial" w:hAnsi="Arial" w:cs="Arial"/>
          <w:sz w:val="20"/>
          <w:szCs w:val="20"/>
        </w:rPr>
      </w:pPr>
      <w:r w:rsidRPr="0081487A">
        <w:rPr>
          <w:rFonts w:ascii="Arial" w:hAnsi="Arial" w:cs="Arial"/>
          <w:sz w:val="20"/>
          <w:szCs w:val="20"/>
          <w:vertAlign w:val="superscript"/>
        </w:rPr>
        <w:t>[</w:t>
      </w:r>
      <w:r>
        <w:rPr>
          <w:rFonts w:ascii="Arial" w:hAnsi="Arial" w:cs="Arial"/>
          <w:sz w:val="20"/>
          <w:szCs w:val="20"/>
          <w:vertAlign w:val="superscript"/>
        </w:rPr>
        <w:t>3</w:t>
      </w:r>
      <w:r w:rsidRPr="0081487A">
        <w:rPr>
          <w:rFonts w:ascii="Arial" w:hAnsi="Arial" w:cs="Arial"/>
          <w:sz w:val="20"/>
          <w:szCs w:val="20"/>
          <w:vertAlign w:val="superscript"/>
        </w:rPr>
        <w:t>]</w:t>
      </w:r>
      <w:r w:rsidRPr="0081487A">
        <w:rPr>
          <w:rFonts w:ascii="Arial" w:hAnsi="Arial" w:cs="Arial"/>
          <w:sz w:val="20"/>
          <w:szCs w:val="20"/>
        </w:rPr>
        <w:t xml:space="preserve"> </w:t>
      </w:r>
      <w:r w:rsidRPr="00F66A6D">
        <w:rPr>
          <w:rFonts w:ascii="Arial" w:hAnsi="Arial" w:cs="Arial"/>
          <w:sz w:val="20"/>
          <w:szCs w:val="20"/>
        </w:rPr>
        <w:t xml:space="preserve">En.wikipedia.org. 2020. Data Protection Act 2018. [online] Available at: </w:t>
      </w:r>
      <w:hyperlink r:id="rId7" w:history="1">
        <w:r w:rsidR="00F54F35" w:rsidRPr="00F34166">
          <w:rPr>
            <w:rStyle w:val="Hyperlink"/>
            <w:rFonts w:ascii="Arial" w:hAnsi="Arial" w:cs="Arial"/>
            <w:sz w:val="20"/>
            <w:szCs w:val="20"/>
          </w:rPr>
          <w:t>https://en.wikipedia.org/wiki/Data_Protection_Act_2018</w:t>
        </w:r>
      </w:hyperlink>
      <w:r w:rsidR="00F54F35">
        <w:rPr>
          <w:rFonts w:ascii="Arial" w:hAnsi="Arial" w:cs="Arial"/>
          <w:sz w:val="20"/>
          <w:szCs w:val="20"/>
        </w:rPr>
        <w:t xml:space="preserve"> </w:t>
      </w:r>
      <w:r w:rsidRPr="00F66A6D">
        <w:rPr>
          <w:rFonts w:ascii="Arial" w:hAnsi="Arial" w:cs="Arial"/>
          <w:sz w:val="20"/>
          <w:szCs w:val="20"/>
        </w:rPr>
        <w:t xml:space="preserve"> [Accessed 29 December 2020].</w:t>
      </w:r>
    </w:p>
    <w:p w14:paraId="64F93CFE" w14:textId="6DF4AF38" w:rsidR="00F66A6D" w:rsidRDefault="00F66A6D" w:rsidP="00B762A5">
      <w:pPr>
        <w:tabs>
          <w:tab w:val="left" w:pos="1215"/>
        </w:tabs>
        <w:rPr>
          <w:rFonts w:ascii="Arial" w:hAnsi="Arial" w:cs="Arial"/>
          <w:color w:val="000000"/>
          <w:sz w:val="20"/>
          <w:szCs w:val="20"/>
          <w:shd w:val="clear" w:color="auto" w:fill="FFFFFF"/>
        </w:rPr>
      </w:pPr>
      <w:r w:rsidRPr="0081487A">
        <w:rPr>
          <w:rFonts w:ascii="Arial" w:hAnsi="Arial" w:cs="Arial"/>
          <w:sz w:val="20"/>
          <w:szCs w:val="20"/>
          <w:vertAlign w:val="superscript"/>
        </w:rPr>
        <w:t>[</w:t>
      </w:r>
      <w:r>
        <w:rPr>
          <w:rFonts w:ascii="Arial" w:hAnsi="Arial" w:cs="Arial"/>
          <w:sz w:val="20"/>
          <w:szCs w:val="20"/>
          <w:vertAlign w:val="superscript"/>
        </w:rPr>
        <w:t>4</w:t>
      </w:r>
      <w:r w:rsidRPr="0081487A">
        <w:rPr>
          <w:rFonts w:ascii="Arial" w:hAnsi="Arial" w:cs="Arial"/>
          <w:sz w:val="20"/>
          <w:szCs w:val="20"/>
          <w:vertAlign w:val="superscript"/>
        </w:rPr>
        <w:t>]</w:t>
      </w:r>
      <w:r w:rsidRPr="0081487A">
        <w:rPr>
          <w:rFonts w:ascii="Arial" w:hAnsi="Arial" w:cs="Arial"/>
          <w:sz w:val="20"/>
          <w:szCs w:val="20"/>
        </w:rPr>
        <w:t xml:space="preserve"> </w:t>
      </w:r>
      <w:r>
        <w:rPr>
          <w:rFonts w:ascii="Arial" w:hAnsi="Arial" w:cs="Arial"/>
          <w:color w:val="000000"/>
          <w:sz w:val="20"/>
          <w:szCs w:val="20"/>
          <w:shd w:val="clear" w:color="auto" w:fill="FFFFFF"/>
        </w:rPr>
        <w:t>Ico.org.uk. 2020. </w:t>
      </w:r>
      <w:r>
        <w:rPr>
          <w:rFonts w:ascii="Arial" w:hAnsi="Arial" w:cs="Arial"/>
          <w:i/>
          <w:iCs/>
          <w:color w:val="000000"/>
          <w:sz w:val="20"/>
          <w:szCs w:val="20"/>
          <w:shd w:val="clear" w:color="auto" w:fill="FFFFFF"/>
        </w:rPr>
        <w:t>Right To Erasure</w:t>
      </w:r>
      <w:r>
        <w:rPr>
          <w:rFonts w:ascii="Arial" w:hAnsi="Arial" w:cs="Arial"/>
          <w:color w:val="000000"/>
          <w:sz w:val="20"/>
          <w:szCs w:val="20"/>
          <w:shd w:val="clear" w:color="auto" w:fill="FFFFFF"/>
        </w:rPr>
        <w:t xml:space="preserve">. [online] Available at: </w:t>
      </w:r>
      <w:hyperlink r:id="rId8" w:anchor="ib1" w:history="1">
        <w:r w:rsidR="00F54F35" w:rsidRPr="00F34166">
          <w:rPr>
            <w:rStyle w:val="Hyperlink"/>
            <w:rFonts w:ascii="Arial" w:hAnsi="Arial" w:cs="Arial"/>
            <w:sz w:val="20"/>
            <w:szCs w:val="20"/>
            <w:shd w:val="clear" w:color="auto" w:fill="FFFFFF"/>
          </w:rPr>
          <w:t>https://ico.org.uk/for-organisations/guide-to-data-protection/guide-to-the-general-data-protection-regulation-gdpr/individual-rights/right-to-erasure/#ib1</w:t>
        </w:r>
      </w:hyperlink>
      <w:r w:rsidR="00F54F3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[Accessed 29 December 2020].</w:t>
      </w:r>
    </w:p>
    <w:p w14:paraId="3353EAB0" w14:textId="5B818F0F" w:rsidR="005340F9" w:rsidRDefault="008527DD" w:rsidP="00B762A5">
      <w:pPr>
        <w:tabs>
          <w:tab w:val="left" w:pos="1215"/>
        </w:tabs>
        <w:rPr>
          <w:rFonts w:ascii="Arial" w:hAnsi="Arial" w:cs="Arial"/>
          <w:color w:val="000000"/>
          <w:sz w:val="20"/>
          <w:szCs w:val="20"/>
          <w:shd w:val="clear" w:color="auto" w:fill="FFFFFF"/>
        </w:rPr>
      </w:pPr>
      <w:r w:rsidRPr="0081487A">
        <w:rPr>
          <w:rFonts w:ascii="Arial" w:hAnsi="Arial" w:cs="Arial"/>
          <w:sz w:val="20"/>
          <w:szCs w:val="20"/>
          <w:vertAlign w:val="superscript"/>
        </w:rPr>
        <w:t>[</w:t>
      </w:r>
      <w:r>
        <w:rPr>
          <w:rFonts w:ascii="Arial" w:hAnsi="Arial" w:cs="Arial"/>
          <w:sz w:val="20"/>
          <w:szCs w:val="20"/>
          <w:vertAlign w:val="superscript"/>
        </w:rPr>
        <w:t>5</w:t>
      </w:r>
      <w:r w:rsidRPr="0081487A">
        <w:rPr>
          <w:rFonts w:ascii="Arial" w:hAnsi="Arial" w:cs="Arial"/>
          <w:sz w:val="20"/>
          <w:szCs w:val="20"/>
          <w:vertAlign w:val="superscript"/>
        </w:rPr>
        <w:t>]</w:t>
      </w:r>
      <w:r w:rsidRPr="0081487A">
        <w:rPr>
          <w:rFonts w:ascii="Arial" w:hAnsi="Arial" w:cs="Arial"/>
          <w:sz w:val="20"/>
          <w:szCs w:val="20"/>
        </w:rPr>
        <w:t xml:space="preserve"> </w:t>
      </w:r>
      <w:r>
        <w:rPr>
          <w:rFonts w:ascii="Arial" w:hAnsi="Arial" w:cs="Arial"/>
          <w:color w:val="000000"/>
          <w:sz w:val="20"/>
          <w:szCs w:val="20"/>
          <w:shd w:val="clear" w:color="auto" w:fill="FFFFFF"/>
        </w:rPr>
        <w:t>Iapp.org. 2020. </w:t>
      </w:r>
      <w:r>
        <w:rPr>
          <w:rFonts w:ascii="Arial" w:hAnsi="Arial" w:cs="Arial"/>
          <w:i/>
          <w:iCs/>
          <w:color w:val="000000"/>
          <w:sz w:val="20"/>
          <w:szCs w:val="20"/>
          <w:shd w:val="clear" w:color="auto" w:fill="FFFFFF"/>
        </w:rPr>
        <w:t>How To Comply With The Right To Erasure (If You Haven't Already!)</w:t>
      </w:r>
      <w:r>
        <w:rPr>
          <w:rFonts w:ascii="Arial" w:hAnsi="Arial" w:cs="Arial"/>
          <w:color w:val="000000"/>
          <w:sz w:val="20"/>
          <w:szCs w:val="20"/>
          <w:shd w:val="clear" w:color="auto" w:fill="FFFFFF"/>
        </w:rPr>
        <w:t xml:space="preserve">. [online] Available at: </w:t>
      </w:r>
      <w:hyperlink r:id="rId9" w:history="1">
        <w:r w:rsidR="005340F9" w:rsidRPr="00442325">
          <w:rPr>
            <w:rStyle w:val="Hyperlink"/>
            <w:rFonts w:ascii="Arial" w:hAnsi="Arial" w:cs="Arial"/>
            <w:sz w:val="20"/>
            <w:szCs w:val="20"/>
            <w:shd w:val="clear" w:color="auto" w:fill="FFFFFF"/>
          </w:rPr>
          <w:t>https://iapp.org/news/a/how-to-comply-with-the-right-to-erasure-if-you-havent-already/</w:t>
        </w:r>
      </w:hyperlink>
      <w:r w:rsidR="005340F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29 December 2020].</w:t>
      </w:r>
    </w:p>
    <w:p w14:paraId="475E5347" w14:textId="2548A9B0" w:rsidR="00227DA9" w:rsidRPr="00B44CE3" w:rsidRDefault="00FA4B46" w:rsidP="00B762A5">
      <w:pPr>
        <w:tabs>
          <w:tab w:val="left" w:pos="1215"/>
        </w:tabs>
        <w:rPr>
          <w:rFonts w:ascii="Arial" w:hAnsi="Arial" w:cs="Arial"/>
          <w:color w:val="000000"/>
          <w:sz w:val="20"/>
          <w:szCs w:val="20"/>
          <w:shd w:val="clear" w:color="auto" w:fill="FFFFFF"/>
        </w:rPr>
      </w:pPr>
      <w:r w:rsidRPr="0081487A">
        <w:rPr>
          <w:rFonts w:ascii="Arial" w:hAnsi="Arial" w:cs="Arial"/>
          <w:sz w:val="20"/>
          <w:szCs w:val="20"/>
          <w:vertAlign w:val="superscript"/>
        </w:rPr>
        <w:t>[</w:t>
      </w:r>
      <w:r w:rsidR="00124ABC">
        <w:rPr>
          <w:rFonts w:ascii="Arial" w:hAnsi="Arial" w:cs="Arial"/>
          <w:sz w:val="20"/>
          <w:szCs w:val="20"/>
          <w:vertAlign w:val="superscript"/>
        </w:rPr>
        <w:t>6</w:t>
      </w:r>
      <w:r w:rsidRPr="0081487A">
        <w:rPr>
          <w:rFonts w:ascii="Arial" w:hAnsi="Arial" w:cs="Arial"/>
          <w:sz w:val="20"/>
          <w:szCs w:val="20"/>
          <w:vertAlign w:val="superscript"/>
        </w:rPr>
        <w:t>]</w:t>
      </w:r>
      <w:r w:rsidRPr="0081487A">
        <w:rPr>
          <w:rFonts w:ascii="Arial" w:hAnsi="Arial" w:cs="Arial"/>
          <w:sz w:val="20"/>
          <w:szCs w:val="20"/>
        </w:rPr>
        <w:t xml:space="preserve"> </w:t>
      </w:r>
      <w:r>
        <w:rPr>
          <w:rFonts w:ascii="Arial" w:hAnsi="Arial" w:cs="Arial"/>
          <w:color w:val="000000"/>
          <w:sz w:val="20"/>
          <w:szCs w:val="20"/>
          <w:shd w:val="clear" w:color="auto" w:fill="FFFFFF"/>
        </w:rPr>
        <w:t>Ico.org.uk. 2020. </w:t>
      </w:r>
      <w:r>
        <w:rPr>
          <w:rFonts w:ascii="Arial" w:hAnsi="Arial" w:cs="Arial"/>
          <w:i/>
          <w:iCs/>
          <w:color w:val="000000"/>
          <w:sz w:val="20"/>
          <w:szCs w:val="20"/>
          <w:shd w:val="clear" w:color="auto" w:fill="FFFFFF"/>
        </w:rPr>
        <w:t>Exemptions</w:t>
      </w:r>
      <w:r>
        <w:rPr>
          <w:rFonts w:ascii="Arial" w:hAnsi="Arial" w:cs="Arial"/>
          <w:color w:val="000000"/>
          <w:sz w:val="20"/>
          <w:szCs w:val="20"/>
          <w:shd w:val="clear" w:color="auto" w:fill="FFFFFF"/>
        </w:rPr>
        <w:t xml:space="preserve">. [online] Available at: </w:t>
      </w:r>
      <w:hyperlink r:id="rId10" w:anchor="ib2" w:history="1">
        <w:r w:rsidR="00B44CE3" w:rsidRPr="00442325">
          <w:rPr>
            <w:rStyle w:val="Hyperlink"/>
            <w:rFonts w:ascii="Arial" w:hAnsi="Arial" w:cs="Arial"/>
            <w:sz w:val="20"/>
            <w:szCs w:val="20"/>
            <w:shd w:val="clear" w:color="auto" w:fill="FFFFFF"/>
          </w:rPr>
          <w:t>https://ico.org.uk/for-organisations/guide-to-data-protection/guide-to-the-general-data-protection-regulation-gdpr/exemptions/#ib2</w:t>
        </w:r>
      </w:hyperlink>
      <w:r w:rsidR="00B44CE3">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29 December 2020].</w:t>
      </w:r>
    </w:p>
    <w:p w14:paraId="5A613892" w14:textId="6C638064" w:rsidR="000943DC" w:rsidRDefault="00651536" w:rsidP="00B762A5">
      <w:pPr>
        <w:tabs>
          <w:tab w:val="left" w:pos="1215"/>
        </w:tabs>
        <w:rPr>
          <w:rFonts w:ascii="Arial" w:hAnsi="Arial" w:cs="Arial"/>
          <w:sz w:val="20"/>
          <w:szCs w:val="20"/>
        </w:rPr>
      </w:pPr>
      <w:r w:rsidRPr="0081487A">
        <w:rPr>
          <w:rFonts w:ascii="Arial" w:hAnsi="Arial" w:cs="Arial"/>
          <w:sz w:val="20"/>
          <w:szCs w:val="20"/>
          <w:vertAlign w:val="superscript"/>
        </w:rPr>
        <w:t>[</w:t>
      </w:r>
      <w:r w:rsidR="00124ABC">
        <w:rPr>
          <w:rFonts w:ascii="Arial" w:hAnsi="Arial" w:cs="Arial"/>
          <w:sz w:val="20"/>
          <w:szCs w:val="20"/>
          <w:vertAlign w:val="superscript"/>
        </w:rPr>
        <w:t>7</w:t>
      </w:r>
      <w:r w:rsidRPr="0081487A">
        <w:rPr>
          <w:rFonts w:ascii="Arial" w:hAnsi="Arial" w:cs="Arial"/>
          <w:sz w:val="20"/>
          <w:szCs w:val="20"/>
          <w:vertAlign w:val="superscript"/>
        </w:rPr>
        <w:t>]</w:t>
      </w:r>
      <w:r w:rsidRPr="0081487A">
        <w:rPr>
          <w:rFonts w:ascii="Arial" w:hAnsi="Arial" w:cs="Arial"/>
          <w:sz w:val="20"/>
          <w:szCs w:val="20"/>
        </w:rPr>
        <w:t xml:space="preserve"> Ico.org.uk. 2020. Rights Related To Automated Decision Making Including Profiling. [online] Available at: </w:t>
      </w:r>
      <w:hyperlink r:id="rId11" w:anchor="ib3" w:history="1">
        <w:r w:rsidR="000943DC" w:rsidRPr="00F34166">
          <w:rPr>
            <w:rStyle w:val="Hyperlink"/>
          </w:rPr>
          <w:t>https://ico.org.uk/for-organisations/guide-to-data-protection/guide-to-the-general-data-protection-regulation-gdpr/individual-rights/rights-related-to-automated-decision-making-including-profiling/#ib3</w:t>
        </w:r>
      </w:hyperlink>
      <w:r w:rsidR="000943DC">
        <w:t xml:space="preserve"> </w:t>
      </w:r>
      <w:r w:rsidRPr="0081487A">
        <w:rPr>
          <w:rFonts w:ascii="Arial" w:hAnsi="Arial" w:cs="Arial"/>
          <w:sz w:val="20"/>
          <w:szCs w:val="20"/>
        </w:rPr>
        <w:t xml:space="preserve">  [Accessed 28 December 2020].</w:t>
      </w:r>
    </w:p>
    <w:p w14:paraId="64211DB4" w14:textId="7D8C9FE2" w:rsidR="0083636F" w:rsidRPr="0081487A" w:rsidRDefault="0048612A" w:rsidP="00B762A5">
      <w:pPr>
        <w:tabs>
          <w:tab w:val="left" w:pos="1215"/>
        </w:tabs>
        <w:rPr>
          <w:rFonts w:ascii="Arial" w:hAnsi="Arial" w:cs="Arial"/>
          <w:sz w:val="20"/>
          <w:szCs w:val="20"/>
        </w:rPr>
      </w:pPr>
      <w:r w:rsidRPr="0081487A">
        <w:rPr>
          <w:rFonts w:ascii="Arial" w:hAnsi="Arial" w:cs="Arial"/>
          <w:sz w:val="20"/>
          <w:szCs w:val="20"/>
          <w:vertAlign w:val="superscript"/>
        </w:rPr>
        <w:t>[</w:t>
      </w:r>
      <w:r w:rsidR="00124ABC">
        <w:rPr>
          <w:rFonts w:ascii="Arial" w:hAnsi="Arial" w:cs="Arial"/>
          <w:sz w:val="20"/>
          <w:szCs w:val="20"/>
          <w:vertAlign w:val="superscript"/>
        </w:rPr>
        <w:t>8</w:t>
      </w:r>
      <w:r w:rsidRPr="0081487A">
        <w:rPr>
          <w:rFonts w:ascii="Arial" w:hAnsi="Arial" w:cs="Arial"/>
          <w:sz w:val="20"/>
          <w:szCs w:val="20"/>
          <w:vertAlign w:val="superscript"/>
        </w:rPr>
        <w:t>]</w:t>
      </w:r>
      <w:r w:rsidRPr="0081487A">
        <w:rPr>
          <w:rFonts w:ascii="Arial" w:hAnsi="Arial" w:cs="Arial"/>
          <w:sz w:val="20"/>
          <w:szCs w:val="20"/>
        </w:rPr>
        <w:t xml:space="preserve"> Ico.org.uk. 2020. Rights Related To Automated Decision Making Including Profiling. [online] Available at: </w:t>
      </w:r>
      <w:hyperlink r:id="rId12" w:anchor="ib4" w:history="1">
        <w:r w:rsidR="00824703" w:rsidRPr="00442325">
          <w:rPr>
            <w:rStyle w:val="Hyperlink"/>
            <w:rFonts w:ascii="Arial" w:hAnsi="Arial" w:cs="Arial"/>
            <w:sz w:val="20"/>
            <w:szCs w:val="20"/>
          </w:rPr>
          <w:t>https://ico.org.uk/for-organisations/guide-to-data-protection/guide-to-the-general-data-protection-regulation-gdpr/individual-rights/rights-related-to-automated-decision-making-including-profiling/#ib4</w:t>
        </w:r>
      </w:hyperlink>
      <w:r w:rsidR="00824703">
        <w:rPr>
          <w:rFonts w:ascii="Arial" w:hAnsi="Arial" w:cs="Arial"/>
          <w:sz w:val="20"/>
          <w:szCs w:val="20"/>
        </w:rPr>
        <w:t xml:space="preserve"> </w:t>
      </w:r>
      <w:r w:rsidRPr="0081487A">
        <w:rPr>
          <w:rFonts w:ascii="Arial" w:hAnsi="Arial" w:cs="Arial"/>
          <w:sz w:val="20"/>
          <w:szCs w:val="20"/>
        </w:rPr>
        <w:t>[Accessed 28 December 2020].</w:t>
      </w:r>
    </w:p>
    <w:p w14:paraId="1E43AE45" w14:textId="7FB60DAA" w:rsidR="007409AD" w:rsidRPr="0081487A" w:rsidRDefault="007409AD" w:rsidP="00B762A5">
      <w:pPr>
        <w:tabs>
          <w:tab w:val="left" w:pos="1215"/>
        </w:tabs>
        <w:rPr>
          <w:rFonts w:ascii="Arial" w:hAnsi="Arial" w:cs="Arial"/>
          <w:sz w:val="20"/>
          <w:szCs w:val="20"/>
        </w:rPr>
      </w:pPr>
      <w:r w:rsidRPr="0081487A">
        <w:rPr>
          <w:rFonts w:ascii="Arial" w:hAnsi="Arial" w:cs="Arial"/>
          <w:sz w:val="20"/>
          <w:szCs w:val="20"/>
          <w:vertAlign w:val="superscript"/>
        </w:rPr>
        <w:t>[</w:t>
      </w:r>
      <w:r w:rsidR="00124ABC">
        <w:rPr>
          <w:rFonts w:ascii="Arial" w:hAnsi="Arial" w:cs="Arial"/>
          <w:sz w:val="20"/>
          <w:szCs w:val="20"/>
          <w:vertAlign w:val="superscript"/>
        </w:rPr>
        <w:t>9</w:t>
      </w:r>
      <w:r w:rsidRPr="0081487A">
        <w:rPr>
          <w:rFonts w:ascii="Arial" w:hAnsi="Arial" w:cs="Arial"/>
          <w:sz w:val="20"/>
          <w:szCs w:val="20"/>
          <w:vertAlign w:val="superscript"/>
        </w:rPr>
        <w:t>]</w:t>
      </w:r>
      <w:r w:rsidRPr="0081487A">
        <w:rPr>
          <w:rFonts w:ascii="Arial" w:hAnsi="Arial" w:cs="Arial"/>
          <w:sz w:val="20"/>
          <w:szCs w:val="20"/>
        </w:rPr>
        <w:t xml:space="preserve"> </w:t>
      </w:r>
      <w:r w:rsidR="00035838" w:rsidRPr="0081487A">
        <w:rPr>
          <w:rFonts w:ascii="Arial" w:hAnsi="Arial" w:cs="Arial"/>
          <w:sz w:val="20"/>
          <w:szCs w:val="20"/>
        </w:rPr>
        <w:t xml:space="preserve">Ico.org.uk. 2020. Right To Erasure. [online] Available at: </w:t>
      </w:r>
      <w:hyperlink r:id="rId13" w:anchor="ib2" w:history="1">
        <w:r w:rsidR="00F54020" w:rsidRPr="00442325">
          <w:rPr>
            <w:rStyle w:val="Hyperlink"/>
          </w:rPr>
          <w:t>https://ico.org.uk/for-organisations/guide-to-data-protection/guide-to-the-general-data-protection-regulation-gdpr/individual-rights/right-to-erasure/#ib2</w:t>
        </w:r>
      </w:hyperlink>
      <w:r w:rsidR="00F54020">
        <w:t xml:space="preserve"> </w:t>
      </w:r>
      <w:r w:rsidR="00035838" w:rsidRPr="0081487A">
        <w:rPr>
          <w:rFonts w:ascii="Arial" w:hAnsi="Arial" w:cs="Arial"/>
          <w:sz w:val="20"/>
          <w:szCs w:val="20"/>
        </w:rPr>
        <w:t>[Accessed 28 December 2020].</w:t>
      </w:r>
    </w:p>
    <w:p w14:paraId="5F6AD7E5" w14:textId="2F30A6D8" w:rsidR="00BC7E44" w:rsidRPr="0081487A" w:rsidRDefault="00BC7E44" w:rsidP="00B762A5">
      <w:pPr>
        <w:tabs>
          <w:tab w:val="left" w:pos="1215"/>
        </w:tabs>
        <w:rPr>
          <w:rFonts w:ascii="Arial" w:hAnsi="Arial" w:cs="Arial"/>
          <w:sz w:val="20"/>
          <w:szCs w:val="20"/>
        </w:rPr>
      </w:pPr>
      <w:r w:rsidRPr="0081487A">
        <w:rPr>
          <w:rFonts w:ascii="Arial" w:hAnsi="Arial" w:cs="Arial"/>
          <w:sz w:val="20"/>
          <w:szCs w:val="20"/>
          <w:vertAlign w:val="superscript"/>
        </w:rPr>
        <w:t>[</w:t>
      </w:r>
      <w:r w:rsidR="006A13BC">
        <w:rPr>
          <w:rFonts w:ascii="Arial" w:hAnsi="Arial" w:cs="Arial"/>
          <w:sz w:val="20"/>
          <w:szCs w:val="20"/>
          <w:vertAlign w:val="superscript"/>
        </w:rPr>
        <w:t>1</w:t>
      </w:r>
      <w:r w:rsidR="008D5B8B">
        <w:rPr>
          <w:rFonts w:ascii="Arial" w:hAnsi="Arial" w:cs="Arial"/>
          <w:sz w:val="20"/>
          <w:szCs w:val="20"/>
          <w:vertAlign w:val="superscript"/>
        </w:rPr>
        <w:t>0</w:t>
      </w:r>
      <w:r w:rsidRPr="0081487A">
        <w:rPr>
          <w:rFonts w:ascii="Arial" w:hAnsi="Arial" w:cs="Arial"/>
          <w:sz w:val="20"/>
          <w:szCs w:val="20"/>
          <w:vertAlign w:val="superscript"/>
        </w:rPr>
        <w:t>]</w:t>
      </w:r>
      <w:r w:rsidRPr="0081487A">
        <w:rPr>
          <w:rFonts w:ascii="Arial" w:hAnsi="Arial" w:cs="Arial"/>
          <w:sz w:val="20"/>
          <w:szCs w:val="20"/>
        </w:rPr>
        <w:t xml:space="preserve"> Data Privacy Manager. 2020. Pseudonymization According To The GDPR [Definitions And Examples] – Data Privacy Manager. [online] Available at: </w:t>
      </w:r>
      <w:hyperlink r:id="rId14" w:history="1">
        <w:r w:rsidR="005C23F9" w:rsidRPr="0081487A">
          <w:rPr>
            <w:rStyle w:val="Hyperlink"/>
            <w:rFonts w:ascii="Arial" w:hAnsi="Arial" w:cs="Arial"/>
            <w:sz w:val="20"/>
            <w:szCs w:val="20"/>
          </w:rPr>
          <w:t>https://dataprivacymanager.net/pseudonymization-according-to-the-gdpr/</w:t>
        </w:r>
      </w:hyperlink>
      <w:r w:rsidR="005C23F9" w:rsidRPr="0081487A">
        <w:rPr>
          <w:rFonts w:ascii="Arial" w:hAnsi="Arial" w:cs="Arial"/>
          <w:sz w:val="20"/>
          <w:szCs w:val="20"/>
        </w:rPr>
        <w:t xml:space="preserve"> </w:t>
      </w:r>
      <w:r w:rsidRPr="0081487A">
        <w:rPr>
          <w:rFonts w:ascii="Arial" w:hAnsi="Arial" w:cs="Arial"/>
          <w:sz w:val="20"/>
          <w:szCs w:val="20"/>
        </w:rPr>
        <w:t xml:space="preserve"> [Accessed 28 December 2020].</w:t>
      </w:r>
    </w:p>
    <w:p w14:paraId="6E121282" w14:textId="0694A64D" w:rsidR="00EB49C8" w:rsidRPr="0081487A" w:rsidRDefault="00EB49C8" w:rsidP="00B762A5">
      <w:pPr>
        <w:tabs>
          <w:tab w:val="left" w:pos="1215"/>
        </w:tabs>
        <w:rPr>
          <w:rFonts w:ascii="Arial" w:hAnsi="Arial" w:cs="Arial"/>
          <w:sz w:val="20"/>
          <w:szCs w:val="20"/>
        </w:rPr>
      </w:pPr>
      <w:r w:rsidRPr="0081487A">
        <w:rPr>
          <w:rFonts w:ascii="Arial" w:hAnsi="Arial" w:cs="Arial"/>
          <w:sz w:val="20"/>
          <w:szCs w:val="20"/>
          <w:vertAlign w:val="superscript"/>
        </w:rPr>
        <w:t>[1</w:t>
      </w:r>
      <w:r w:rsidR="008D5B8B">
        <w:rPr>
          <w:rFonts w:ascii="Arial" w:hAnsi="Arial" w:cs="Arial"/>
          <w:sz w:val="20"/>
          <w:szCs w:val="20"/>
          <w:vertAlign w:val="superscript"/>
        </w:rPr>
        <w:t>1</w:t>
      </w:r>
      <w:r w:rsidRPr="0081487A">
        <w:rPr>
          <w:rFonts w:ascii="Arial" w:hAnsi="Arial" w:cs="Arial"/>
          <w:sz w:val="20"/>
          <w:szCs w:val="20"/>
          <w:vertAlign w:val="superscript"/>
        </w:rPr>
        <w:t>]</w:t>
      </w:r>
      <w:r w:rsidRPr="0081487A">
        <w:rPr>
          <w:rFonts w:ascii="Arial" w:hAnsi="Arial" w:cs="Arial"/>
          <w:sz w:val="20"/>
          <w:szCs w:val="20"/>
        </w:rPr>
        <w:t xml:space="preserve"> </w:t>
      </w:r>
      <w:proofErr w:type="spellStart"/>
      <w:r w:rsidRPr="0081487A">
        <w:rPr>
          <w:rFonts w:ascii="Arial" w:hAnsi="Arial" w:cs="Arial"/>
          <w:sz w:val="20"/>
          <w:szCs w:val="20"/>
        </w:rPr>
        <w:t>Judin</w:t>
      </w:r>
      <w:proofErr w:type="spellEnd"/>
      <w:r w:rsidRPr="0081487A">
        <w:rPr>
          <w:rFonts w:ascii="Arial" w:hAnsi="Arial" w:cs="Arial"/>
          <w:sz w:val="20"/>
          <w:szCs w:val="20"/>
        </w:rPr>
        <w:t xml:space="preserve">, J., 2020. Avatars, </w:t>
      </w:r>
      <w:proofErr w:type="spellStart"/>
      <w:r w:rsidRPr="0081487A">
        <w:rPr>
          <w:rFonts w:ascii="Arial" w:hAnsi="Arial" w:cs="Arial"/>
          <w:sz w:val="20"/>
          <w:szCs w:val="20"/>
        </w:rPr>
        <w:t>Identicons</w:t>
      </w:r>
      <w:proofErr w:type="spellEnd"/>
      <w:r w:rsidRPr="0081487A">
        <w:rPr>
          <w:rFonts w:ascii="Arial" w:hAnsi="Arial" w:cs="Arial"/>
          <w:sz w:val="20"/>
          <w:szCs w:val="20"/>
        </w:rPr>
        <w:t xml:space="preserve">, And Hash Visualization. [online] </w:t>
      </w:r>
      <w:proofErr w:type="spellStart"/>
      <w:r w:rsidRPr="0081487A">
        <w:rPr>
          <w:rFonts w:ascii="Arial" w:hAnsi="Arial" w:cs="Arial"/>
          <w:sz w:val="20"/>
          <w:szCs w:val="20"/>
        </w:rPr>
        <w:t>Jussi</w:t>
      </w:r>
      <w:proofErr w:type="spellEnd"/>
      <w:r w:rsidRPr="0081487A">
        <w:rPr>
          <w:rFonts w:ascii="Arial" w:hAnsi="Arial" w:cs="Arial"/>
          <w:sz w:val="20"/>
          <w:szCs w:val="20"/>
        </w:rPr>
        <w:t xml:space="preserve"> </w:t>
      </w:r>
      <w:proofErr w:type="spellStart"/>
      <w:r w:rsidRPr="0081487A">
        <w:rPr>
          <w:rFonts w:ascii="Arial" w:hAnsi="Arial" w:cs="Arial"/>
          <w:sz w:val="20"/>
          <w:szCs w:val="20"/>
        </w:rPr>
        <w:t>Judin's</w:t>
      </w:r>
      <w:proofErr w:type="spellEnd"/>
      <w:r w:rsidRPr="0081487A">
        <w:rPr>
          <w:rFonts w:ascii="Arial" w:hAnsi="Arial" w:cs="Arial"/>
          <w:sz w:val="20"/>
          <w:szCs w:val="20"/>
        </w:rPr>
        <w:t xml:space="preserve"> weblog. Available at: </w:t>
      </w:r>
      <w:hyperlink r:id="rId15" w:history="1">
        <w:r w:rsidRPr="0081487A">
          <w:rPr>
            <w:rStyle w:val="Hyperlink"/>
            <w:rFonts w:ascii="Arial" w:hAnsi="Arial" w:cs="Arial"/>
            <w:sz w:val="20"/>
            <w:szCs w:val="20"/>
          </w:rPr>
          <w:t>https://barro.github.io/2018/02/avatars-identicons-and-hash-visualization/</w:t>
        </w:r>
      </w:hyperlink>
      <w:r w:rsidRPr="0081487A">
        <w:rPr>
          <w:rFonts w:ascii="Arial" w:hAnsi="Arial" w:cs="Arial"/>
          <w:sz w:val="20"/>
          <w:szCs w:val="20"/>
        </w:rPr>
        <w:t xml:space="preserve">  [Accessed 28 December 2020].</w:t>
      </w:r>
    </w:p>
    <w:sectPr w:rsidR="00EB49C8" w:rsidRPr="0081487A" w:rsidSect="005D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D7513D"/>
    <w:multiLevelType w:val="multilevel"/>
    <w:tmpl w:val="B20C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02"/>
    <w:rsid w:val="00000F05"/>
    <w:rsid w:val="00005291"/>
    <w:rsid w:val="0002416E"/>
    <w:rsid w:val="00035412"/>
    <w:rsid w:val="00035838"/>
    <w:rsid w:val="0004142C"/>
    <w:rsid w:val="000463C5"/>
    <w:rsid w:val="00055917"/>
    <w:rsid w:val="00081802"/>
    <w:rsid w:val="00083A24"/>
    <w:rsid w:val="00085F43"/>
    <w:rsid w:val="000943DC"/>
    <w:rsid w:val="000C2F56"/>
    <w:rsid w:val="000D7A81"/>
    <w:rsid w:val="000E16EF"/>
    <w:rsid w:val="000E45D4"/>
    <w:rsid w:val="000F0D15"/>
    <w:rsid w:val="000F2D7D"/>
    <w:rsid w:val="000F6229"/>
    <w:rsid w:val="00100FE5"/>
    <w:rsid w:val="00102539"/>
    <w:rsid w:val="00103B9D"/>
    <w:rsid w:val="00113159"/>
    <w:rsid w:val="00114C4D"/>
    <w:rsid w:val="00120E35"/>
    <w:rsid w:val="00124ABC"/>
    <w:rsid w:val="001266B7"/>
    <w:rsid w:val="00141A93"/>
    <w:rsid w:val="001423C9"/>
    <w:rsid w:val="001609B7"/>
    <w:rsid w:val="00161C1E"/>
    <w:rsid w:val="0016588C"/>
    <w:rsid w:val="00180764"/>
    <w:rsid w:val="001A0C60"/>
    <w:rsid w:val="001C1BEA"/>
    <w:rsid w:val="001C2900"/>
    <w:rsid w:val="001D1ACC"/>
    <w:rsid w:val="001D292A"/>
    <w:rsid w:val="001D4795"/>
    <w:rsid w:val="001E4ABD"/>
    <w:rsid w:val="001F2EF2"/>
    <w:rsid w:val="001F6802"/>
    <w:rsid w:val="002040B7"/>
    <w:rsid w:val="00204415"/>
    <w:rsid w:val="0020489E"/>
    <w:rsid w:val="00206D03"/>
    <w:rsid w:val="00212DFA"/>
    <w:rsid w:val="00215964"/>
    <w:rsid w:val="00216EF8"/>
    <w:rsid w:val="00221B43"/>
    <w:rsid w:val="00227DA9"/>
    <w:rsid w:val="00237C3E"/>
    <w:rsid w:val="00240027"/>
    <w:rsid w:val="00240FEF"/>
    <w:rsid w:val="00257380"/>
    <w:rsid w:val="0026005B"/>
    <w:rsid w:val="00275C53"/>
    <w:rsid w:val="0028015B"/>
    <w:rsid w:val="00281E2A"/>
    <w:rsid w:val="00291D97"/>
    <w:rsid w:val="00293883"/>
    <w:rsid w:val="002A11D6"/>
    <w:rsid w:val="002A4B79"/>
    <w:rsid w:val="002A75F6"/>
    <w:rsid w:val="002A77F9"/>
    <w:rsid w:val="002B0F41"/>
    <w:rsid w:val="002B2F9E"/>
    <w:rsid w:val="002C2667"/>
    <w:rsid w:val="002F49D6"/>
    <w:rsid w:val="003045B0"/>
    <w:rsid w:val="00315EA0"/>
    <w:rsid w:val="00316F56"/>
    <w:rsid w:val="00331C26"/>
    <w:rsid w:val="00344D6F"/>
    <w:rsid w:val="00375BA6"/>
    <w:rsid w:val="003776C0"/>
    <w:rsid w:val="003951D5"/>
    <w:rsid w:val="003A1021"/>
    <w:rsid w:val="003A144D"/>
    <w:rsid w:val="003A2815"/>
    <w:rsid w:val="003A3451"/>
    <w:rsid w:val="003A790A"/>
    <w:rsid w:val="003B1C40"/>
    <w:rsid w:val="003B4A6B"/>
    <w:rsid w:val="003C6328"/>
    <w:rsid w:val="003C77AF"/>
    <w:rsid w:val="003D329F"/>
    <w:rsid w:val="003D4DFC"/>
    <w:rsid w:val="003E359C"/>
    <w:rsid w:val="003E3CD7"/>
    <w:rsid w:val="003F7924"/>
    <w:rsid w:val="00404006"/>
    <w:rsid w:val="00406634"/>
    <w:rsid w:val="00411734"/>
    <w:rsid w:val="0041413F"/>
    <w:rsid w:val="00435F62"/>
    <w:rsid w:val="00461EF5"/>
    <w:rsid w:val="0048612A"/>
    <w:rsid w:val="00487B0C"/>
    <w:rsid w:val="00487F1D"/>
    <w:rsid w:val="00495BDA"/>
    <w:rsid w:val="004A4AF8"/>
    <w:rsid w:val="004B05D7"/>
    <w:rsid w:val="004B475A"/>
    <w:rsid w:val="004C3079"/>
    <w:rsid w:val="004C3B0B"/>
    <w:rsid w:val="004C5933"/>
    <w:rsid w:val="004C5C0A"/>
    <w:rsid w:val="004E5385"/>
    <w:rsid w:val="004E5CE6"/>
    <w:rsid w:val="004F7777"/>
    <w:rsid w:val="0050402D"/>
    <w:rsid w:val="005043F4"/>
    <w:rsid w:val="005072FB"/>
    <w:rsid w:val="00526D3F"/>
    <w:rsid w:val="0053224B"/>
    <w:rsid w:val="005340F9"/>
    <w:rsid w:val="0054553E"/>
    <w:rsid w:val="00547A3B"/>
    <w:rsid w:val="00553D19"/>
    <w:rsid w:val="0055410F"/>
    <w:rsid w:val="00561332"/>
    <w:rsid w:val="005866CB"/>
    <w:rsid w:val="00587957"/>
    <w:rsid w:val="00596615"/>
    <w:rsid w:val="005A6C6B"/>
    <w:rsid w:val="005B40CF"/>
    <w:rsid w:val="005B4C7D"/>
    <w:rsid w:val="005B7117"/>
    <w:rsid w:val="005C23F9"/>
    <w:rsid w:val="005C41D0"/>
    <w:rsid w:val="005C43F5"/>
    <w:rsid w:val="005C69CA"/>
    <w:rsid w:val="005D3691"/>
    <w:rsid w:val="005D36B3"/>
    <w:rsid w:val="005D5CC8"/>
    <w:rsid w:val="005D64D1"/>
    <w:rsid w:val="005E10A3"/>
    <w:rsid w:val="005F1095"/>
    <w:rsid w:val="005F1EE7"/>
    <w:rsid w:val="005F2D65"/>
    <w:rsid w:val="005F38A0"/>
    <w:rsid w:val="005F3A8F"/>
    <w:rsid w:val="005F4890"/>
    <w:rsid w:val="006000D9"/>
    <w:rsid w:val="0061411F"/>
    <w:rsid w:val="00634944"/>
    <w:rsid w:val="00650B24"/>
    <w:rsid w:val="00651536"/>
    <w:rsid w:val="00651760"/>
    <w:rsid w:val="0065705D"/>
    <w:rsid w:val="00661241"/>
    <w:rsid w:val="006624F5"/>
    <w:rsid w:val="006712FB"/>
    <w:rsid w:val="006731D9"/>
    <w:rsid w:val="006770D4"/>
    <w:rsid w:val="00683CC1"/>
    <w:rsid w:val="00692F02"/>
    <w:rsid w:val="006A13BC"/>
    <w:rsid w:val="006A16EF"/>
    <w:rsid w:val="006B5C3A"/>
    <w:rsid w:val="006C1DF4"/>
    <w:rsid w:val="006C2BDF"/>
    <w:rsid w:val="006D0D9E"/>
    <w:rsid w:val="006E0D3E"/>
    <w:rsid w:val="006E67CE"/>
    <w:rsid w:val="006F5CB7"/>
    <w:rsid w:val="007178DD"/>
    <w:rsid w:val="007255F5"/>
    <w:rsid w:val="007409AD"/>
    <w:rsid w:val="00743B3D"/>
    <w:rsid w:val="00752CA7"/>
    <w:rsid w:val="00753150"/>
    <w:rsid w:val="00754240"/>
    <w:rsid w:val="007557D5"/>
    <w:rsid w:val="0077078D"/>
    <w:rsid w:val="00770808"/>
    <w:rsid w:val="00775B60"/>
    <w:rsid w:val="007951B0"/>
    <w:rsid w:val="007B4987"/>
    <w:rsid w:val="007D31AB"/>
    <w:rsid w:val="007D3E8D"/>
    <w:rsid w:val="007E4E77"/>
    <w:rsid w:val="007F1F58"/>
    <w:rsid w:val="00800C4B"/>
    <w:rsid w:val="0081487A"/>
    <w:rsid w:val="008207E6"/>
    <w:rsid w:val="008223C8"/>
    <w:rsid w:val="00822B75"/>
    <w:rsid w:val="00824703"/>
    <w:rsid w:val="0083636F"/>
    <w:rsid w:val="008527DD"/>
    <w:rsid w:val="00857B39"/>
    <w:rsid w:val="00860350"/>
    <w:rsid w:val="0086493E"/>
    <w:rsid w:val="00867EDB"/>
    <w:rsid w:val="00875585"/>
    <w:rsid w:val="0088193C"/>
    <w:rsid w:val="00881F4D"/>
    <w:rsid w:val="00885EA4"/>
    <w:rsid w:val="008A3631"/>
    <w:rsid w:val="008A6C5D"/>
    <w:rsid w:val="008B7088"/>
    <w:rsid w:val="008D5B8B"/>
    <w:rsid w:val="008E3C25"/>
    <w:rsid w:val="008F5E89"/>
    <w:rsid w:val="0090080C"/>
    <w:rsid w:val="00904785"/>
    <w:rsid w:val="00904951"/>
    <w:rsid w:val="00916DD4"/>
    <w:rsid w:val="009217A5"/>
    <w:rsid w:val="00922E11"/>
    <w:rsid w:val="00923A6F"/>
    <w:rsid w:val="00925B6C"/>
    <w:rsid w:val="009355B4"/>
    <w:rsid w:val="00941C4D"/>
    <w:rsid w:val="00955659"/>
    <w:rsid w:val="00956F3E"/>
    <w:rsid w:val="009645B3"/>
    <w:rsid w:val="00980689"/>
    <w:rsid w:val="0099220E"/>
    <w:rsid w:val="009A4A54"/>
    <w:rsid w:val="009B5215"/>
    <w:rsid w:val="009B5BE4"/>
    <w:rsid w:val="009B643C"/>
    <w:rsid w:val="009C342D"/>
    <w:rsid w:val="009D096C"/>
    <w:rsid w:val="009E12D7"/>
    <w:rsid w:val="009E6241"/>
    <w:rsid w:val="009F4EFB"/>
    <w:rsid w:val="009F640C"/>
    <w:rsid w:val="00A02E29"/>
    <w:rsid w:val="00A050FF"/>
    <w:rsid w:val="00A07612"/>
    <w:rsid w:val="00A24FB5"/>
    <w:rsid w:val="00A26B7E"/>
    <w:rsid w:val="00A32F6E"/>
    <w:rsid w:val="00A36E13"/>
    <w:rsid w:val="00A53544"/>
    <w:rsid w:val="00A6069A"/>
    <w:rsid w:val="00A837D7"/>
    <w:rsid w:val="00A90940"/>
    <w:rsid w:val="00A92E60"/>
    <w:rsid w:val="00A94947"/>
    <w:rsid w:val="00A95202"/>
    <w:rsid w:val="00AA7F52"/>
    <w:rsid w:val="00AB24AB"/>
    <w:rsid w:val="00AB5549"/>
    <w:rsid w:val="00AB655E"/>
    <w:rsid w:val="00AC4E61"/>
    <w:rsid w:val="00AD5E8C"/>
    <w:rsid w:val="00AE1CFE"/>
    <w:rsid w:val="00AE681E"/>
    <w:rsid w:val="00B021B3"/>
    <w:rsid w:val="00B0677B"/>
    <w:rsid w:val="00B179EF"/>
    <w:rsid w:val="00B32D4B"/>
    <w:rsid w:val="00B33E6A"/>
    <w:rsid w:val="00B402C3"/>
    <w:rsid w:val="00B44CE3"/>
    <w:rsid w:val="00B762A5"/>
    <w:rsid w:val="00B80022"/>
    <w:rsid w:val="00B80C44"/>
    <w:rsid w:val="00B90A09"/>
    <w:rsid w:val="00B94EA8"/>
    <w:rsid w:val="00BA0190"/>
    <w:rsid w:val="00BB29DE"/>
    <w:rsid w:val="00BB5340"/>
    <w:rsid w:val="00BB6C41"/>
    <w:rsid w:val="00BC0500"/>
    <w:rsid w:val="00BC5555"/>
    <w:rsid w:val="00BC6CD0"/>
    <w:rsid w:val="00BC7E44"/>
    <w:rsid w:val="00BD3B54"/>
    <w:rsid w:val="00BD5C82"/>
    <w:rsid w:val="00BE2D97"/>
    <w:rsid w:val="00BE4964"/>
    <w:rsid w:val="00BE68F5"/>
    <w:rsid w:val="00C005D9"/>
    <w:rsid w:val="00C0060D"/>
    <w:rsid w:val="00C04CF3"/>
    <w:rsid w:val="00C11931"/>
    <w:rsid w:val="00C40D08"/>
    <w:rsid w:val="00C41D72"/>
    <w:rsid w:val="00C42FBF"/>
    <w:rsid w:val="00C51653"/>
    <w:rsid w:val="00C5393C"/>
    <w:rsid w:val="00C915C1"/>
    <w:rsid w:val="00CA2C4A"/>
    <w:rsid w:val="00CA310F"/>
    <w:rsid w:val="00CA56CB"/>
    <w:rsid w:val="00CA63C8"/>
    <w:rsid w:val="00CC0F1B"/>
    <w:rsid w:val="00CC759C"/>
    <w:rsid w:val="00CF25FF"/>
    <w:rsid w:val="00D13715"/>
    <w:rsid w:val="00D30075"/>
    <w:rsid w:val="00D33661"/>
    <w:rsid w:val="00D475F2"/>
    <w:rsid w:val="00D52771"/>
    <w:rsid w:val="00D61876"/>
    <w:rsid w:val="00D64245"/>
    <w:rsid w:val="00D81419"/>
    <w:rsid w:val="00D87F34"/>
    <w:rsid w:val="00D91284"/>
    <w:rsid w:val="00D950A6"/>
    <w:rsid w:val="00DC188A"/>
    <w:rsid w:val="00DC2176"/>
    <w:rsid w:val="00DF4FB7"/>
    <w:rsid w:val="00E01124"/>
    <w:rsid w:val="00E26B14"/>
    <w:rsid w:val="00E31C7B"/>
    <w:rsid w:val="00E35F8A"/>
    <w:rsid w:val="00E41013"/>
    <w:rsid w:val="00E45C95"/>
    <w:rsid w:val="00E60AB7"/>
    <w:rsid w:val="00E6739B"/>
    <w:rsid w:val="00E73F33"/>
    <w:rsid w:val="00E8151B"/>
    <w:rsid w:val="00E83424"/>
    <w:rsid w:val="00E84A82"/>
    <w:rsid w:val="00E9546C"/>
    <w:rsid w:val="00EA00E6"/>
    <w:rsid w:val="00EB19E6"/>
    <w:rsid w:val="00EB49C8"/>
    <w:rsid w:val="00EC3932"/>
    <w:rsid w:val="00EE0C1A"/>
    <w:rsid w:val="00EE0E18"/>
    <w:rsid w:val="00EE1C89"/>
    <w:rsid w:val="00EE2AB3"/>
    <w:rsid w:val="00EE6118"/>
    <w:rsid w:val="00EE721E"/>
    <w:rsid w:val="00EF039E"/>
    <w:rsid w:val="00EF0D72"/>
    <w:rsid w:val="00EF3DFD"/>
    <w:rsid w:val="00F00715"/>
    <w:rsid w:val="00F022E0"/>
    <w:rsid w:val="00F11D59"/>
    <w:rsid w:val="00F23E35"/>
    <w:rsid w:val="00F23FB2"/>
    <w:rsid w:val="00F253A1"/>
    <w:rsid w:val="00F27003"/>
    <w:rsid w:val="00F34492"/>
    <w:rsid w:val="00F347EF"/>
    <w:rsid w:val="00F53012"/>
    <w:rsid w:val="00F54020"/>
    <w:rsid w:val="00F54F35"/>
    <w:rsid w:val="00F66A6D"/>
    <w:rsid w:val="00F75634"/>
    <w:rsid w:val="00F756DB"/>
    <w:rsid w:val="00F84108"/>
    <w:rsid w:val="00FA16A9"/>
    <w:rsid w:val="00FA4B46"/>
    <w:rsid w:val="00FC4A89"/>
    <w:rsid w:val="00FD75B0"/>
    <w:rsid w:val="00FF10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AB98"/>
  <w15:chartTrackingRefBased/>
  <w15:docId w15:val="{3BB8DE2F-3B87-4291-91C3-EF0988F3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6B14"/>
    <w:pPr>
      <w:autoSpaceDE w:val="0"/>
      <w:autoSpaceDN w:val="0"/>
      <w:adjustRightInd w:val="0"/>
      <w:spacing w:after="0" w:line="240" w:lineRule="auto"/>
    </w:pPr>
    <w:rPr>
      <w:rFonts w:ascii="Calibri Light" w:hAnsi="Calibri Light" w:cs="Calibri Light"/>
      <w:color w:val="000000"/>
      <w:sz w:val="24"/>
      <w:szCs w:val="24"/>
    </w:rPr>
  </w:style>
  <w:style w:type="character" w:styleId="Hyperlink">
    <w:name w:val="Hyperlink"/>
    <w:basedOn w:val="DefaultParagraphFont"/>
    <w:uiPriority w:val="99"/>
    <w:unhideWhenUsed/>
    <w:rsid w:val="00B762A5"/>
    <w:rPr>
      <w:color w:val="0563C1" w:themeColor="hyperlink"/>
      <w:u w:val="single"/>
    </w:rPr>
  </w:style>
  <w:style w:type="character" w:styleId="UnresolvedMention">
    <w:name w:val="Unresolved Mention"/>
    <w:basedOn w:val="DefaultParagraphFont"/>
    <w:uiPriority w:val="99"/>
    <w:semiHidden/>
    <w:unhideWhenUsed/>
    <w:rsid w:val="00B762A5"/>
    <w:rPr>
      <w:color w:val="605E5C"/>
      <w:shd w:val="clear" w:color="auto" w:fill="E1DFDD"/>
    </w:rPr>
  </w:style>
  <w:style w:type="character" w:styleId="FollowedHyperlink">
    <w:name w:val="FollowedHyperlink"/>
    <w:basedOn w:val="DefaultParagraphFont"/>
    <w:uiPriority w:val="99"/>
    <w:semiHidden/>
    <w:unhideWhenUsed/>
    <w:rsid w:val="00083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7719">
      <w:bodyDiv w:val="1"/>
      <w:marLeft w:val="0"/>
      <w:marRight w:val="0"/>
      <w:marTop w:val="0"/>
      <w:marBottom w:val="0"/>
      <w:divBdr>
        <w:top w:val="none" w:sz="0" w:space="0" w:color="auto"/>
        <w:left w:val="none" w:sz="0" w:space="0" w:color="auto"/>
        <w:bottom w:val="none" w:sz="0" w:space="0" w:color="auto"/>
        <w:right w:val="none" w:sz="0" w:space="0" w:color="auto"/>
      </w:divBdr>
    </w:div>
    <w:div w:id="531264328">
      <w:bodyDiv w:val="1"/>
      <w:marLeft w:val="0"/>
      <w:marRight w:val="0"/>
      <w:marTop w:val="0"/>
      <w:marBottom w:val="0"/>
      <w:divBdr>
        <w:top w:val="none" w:sz="0" w:space="0" w:color="auto"/>
        <w:left w:val="none" w:sz="0" w:space="0" w:color="auto"/>
        <w:bottom w:val="none" w:sz="0" w:space="0" w:color="auto"/>
        <w:right w:val="none" w:sz="0" w:space="0" w:color="auto"/>
      </w:divBdr>
    </w:div>
    <w:div w:id="1262757997">
      <w:bodyDiv w:val="1"/>
      <w:marLeft w:val="0"/>
      <w:marRight w:val="0"/>
      <w:marTop w:val="0"/>
      <w:marBottom w:val="0"/>
      <w:divBdr>
        <w:top w:val="none" w:sz="0" w:space="0" w:color="auto"/>
        <w:left w:val="none" w:sz="0" w:space="0" w:color="auto"/>
        <w:bottom w:val="none" w:sz="0" w:space="0" w:color="auto"/>
        <w:right w:val="none" w:sz="0" w:space="0" w:color="auto"/>
      </w:divBdr>
    </w:div>
    <w:div w:id="1299527582">
      <w:bodyDiv w:val="1"/>
      <w:marLeft w:val="0"/>
      <w:marRight w:val="0"/>
      <w:marTop w:val="0"/>
      <w:marBottom w:val="0"/>
      <w:divBdr>
        <w:top w:val="none" w:sz="0" w:space="0" w:color="auto"/>
        <w:left w:val="none" w:sz="0" w:space="0" w:color="auto"/>
        <w:bottom w:val="none" w:sz="0" w:space="0" w:color="auto"/>
        <w:right w:val="none" w:sz="0" w:space="0" w:color="auto"/>
      </w:divBdr>
    </w:div>
    <w:div w:id="1366715577">
      <w:bodyDiv w:val="1"/>
      <w:marLeft w:val="0"/>
      <w:marRight w:val="0"/>
      <w:marTop w:val="0"/>
      <w:marBottom w:val="0"/>
      <w:divBdr>
        <w:top w:val="none" w:sz="0" w:space="0" w:color="auto"/>
        <w:left w:val="none" w:sz="0" w:space="0" w:color="auto"/>
        <w:bottom w:val="none" w:sz="0" w:space="0" w:color="auto"/>
        <w:right w:val="none" w:sz="0" w:space="0" w:color="auto"/>
      </w:divBdr>
    </w:div>
    <w:div w:id="1717578867">
      <w:bodyDiv w:val="1"/>
      <w:marLeft w:val="0"/>
      <w:marRight w:val="0"/>
      <w:marTop w:val="0"/>
      <w:marBottom w:val="0"/>
      <w:divBdr>
        <w:top w:val="none" w:sz="0" w:space="0" w:color="auto"/>
        <w:left w:val="none" w:sz="0" w:space="0" w:color="auto"/>
        <w:bottom w:val="none" w:sz="0" w:space="0" w:color="auto"/>
        <w:right w:val="none" w:sz="0" w:space="0" w:color="auto"/>
      </w:divBdr>
    </w:div>
    <w:div w:id="17782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data-protection/guide-to-the-general-data-protection-regulation-gdpr/individual-rights/right-to-erasure/" TargetMode="External"/><Relationship Id="rId13" Type="http://schemas.openxmlformats.org/officeDocument/2006/relationships/hyperlink" Target="https://ico.org.uk/for-organisations/guide-to-data-protection/guide-to-the-general-data-protection-regulation-gdpr/individual-rights/right-to-erasure/" TargetMode="External"/><Relationship Id="rId3" Type="http://schemas.openxmlformats.org/officeDocument/2006/relationships/settings" Target="settings.xml"/><Relationship Id="rId7" Type="http://schemas.openxmlformats.org/officeDocument/2006/relationships/hyperlink" Target="https://en.wikipedia.org/wiki/Data_Protection_Act_2018" TargetMode="External"/><Relationship Id="rId12" Type="http://schemas.openxmlformats.org/officeDocument/2006/relationships/hyperlink" Target="https://ico.org.uk/for-organisations/guide-to-data-protection/guide-to-the-general-data-protection-regulation-gdpr/individual-rights/rights-related-to-automated-decision-making-including-profil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formationpolicycentre.com/uploads/5/7/1/0/57104281/cipl_accountability_paper_1_-_the_case_for_accountability_-_how_it_enables_effective_data_protection_and_trust_in_the_digital_society.pdf" TargetMode="External"/><Relationship Id="rId11" Type="http://schemas.openxmlformats.org/officeDocument/2006/relationships/hyperlink" Target="https://ico.org.uk/for-organisations/guide-to-data-protection/guide-to-the-general-data-protection-regulation-gdpr/individual-rights/rights-related-to-automated-decision-making-including-profiling/" TargetMode="External"/><Relationship Id="rId5" Type="http://schemas.openxmlformats.org/officeDocument/2006/relationships/hyperlink" Target="https://www.nibusinessinfo.co.uk/content/data-protection-principles-under-gdpr" TargetMode="External"/><Relationship Id="rId15" Type="http://schemas.openxmlformats.org/officeDocument/2006/relationships/hyperlink" Target="https://barro.github.io/2018/02/avatars-identicons-and-hash-visualization/" TargetMode="External"/><Relationship Id="rId10" Type="http://schemas.openxmlformats.org/officeDocument/2006/relationships/hyperlink" Target="https://ico.org.uk/for-organisations/guide-to-data-protection/guide-to-the-general-data-protection-regulation-gdpr/exemptions/" TargetMode="External"/><Relationship Id="rId4" Type="http://schemas.openxmlformats.org/officeDocument/2006/relationships/webSettings" Target="webSettings.xml"/><Relationship Id="rId9" Type="http://schemas.openxmlformats.org/officeDocument/2006/relationships/hyperlink" Target="https://iapp.org/news/a/how-to-comply-with-the-right-to-erasure-if-you-havent-already/" TargetMode="External"/><Relationship Id="rId14" Type="http://schemas.openxmlformats.org/officeDocument/2006/relationships/hyperlink" Target="https://dataprivacymanager.net/pseudonymization-according-to-the-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4</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Londos</dc:creator>
  <cp:keywords/>
  <dc:description/>
  <cp:lastModifiedBy>Spyros Londos</cp:lastModifiedBy>
  <cp:revision>379</cp:revision>
  <dcterms:created xsi:type="dcterms:W3CDTF">2020-12-16T16:34:00Z</dcterms:created>
  <dcterms:modified xsi:type="dcterms:W3CDTF">2021-01-05T14:56:00Z</dcterms:modified>
</cp:coreProperties>
</file>