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3DCA8A" w:sz="6" w:space="4"/>
        </w:pBdr>
        <w:spacing w:after="60" w:before="0"/>
      </w:pPr>
      <w:r>
        <w:rPr>
          <w:rFonts w:ascii="Arial" w:cs="Arial" w:eastAsia="Arial" w:hAnsi="Arial"/>
          <w:b/>
          <w:bCs/>
          <w:color w:val="1A2744"/>
          <w:sz w:val="32"/>
          <w:szCs w:val="32"/>
        </w:rPr>
        <w:t xml:space="preserve">Critérios de Seleção para Automação de Testes</w:t>
      </w:r>
    </w:p>
    <w:p>
      <w:pPr>
        <w:spacing w:after="160" w:before="60"/>
      </w:pPr>
      <w:r>
        <w:rPr>
          <w:rFonts w:ascii="Arial" w:cs="Arial" w:eastAsia="Arial" w:hAnsi="Arial"/>
          <w:i/>
          <w:iCs/>
          <w:color w:val="78909C"/>
          <w:sz w:val="19"/>
          <w:szCs w:val="19"/>
        </w:rPr>
        <w:t xml:space="preserve">LearningFlix — Revvo   ·   Squad Iterasys-145   ·   Sprint 1   ·   Abril 2026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A2744"/>
          <w:sz w:val="26"/>
          <w:szCs w:val="26"/>
        </w:rPr>
        <w:t xml:space="preserve">1. Contexto</w:t>
      </w:r>
    </w:p>
    <w:p>
      <w:p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Após a execução manual de 80 casos de teste cobrindo os plugins Gerenciador de Público-alvo, Variantes do Tema e Logo e Favicon, o time Squad Iterasys-145 iniciou a automação dos testes priorizando os cenários de maior risco para o negócio. A seleção foi baseada em uma Matriz de Risco estruturada com quatro critérios objetivos.</w:t>
      </w:r>
    </w:p>
    <w:p>
      <w:pPr>
        <w:spacing w:after="0" w:before="100"/>
      </w:pPr>
      <w:r>
        <w:t xml:space="preserve"/>
      </w:r>
    </w:p>
    <w:p>
      <w:pPr>
        <w:pStyle w:val="Heading1"/>
        <w:spacing w:after="80" w:before="140"/>
      </w:pPr>
      <w:r>
        <w:rPr>
          <w:rFonts w:ascii="Arial" w:cs="Arial" w:eastAsia="Arial" w:hAnsi="Arial"/>
          <w:b/>
          <w:bCs/>
          <w:color w:val="1A2744"/>
          <w:sz w:val="26"/>
          <w:szCs w:val="26"/>
        </w:rPr>
        <w:t xml:space="preserve">2. Critérios de Seleção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Cada caso de teste recebeu uma pontuação baseada na fórmula:</w:t>
      </w:r>
    </w:p>
    <w:p>
      <w:pPr>
        <w:pBdr>
          <w:left w:val="single" w:color="3DCA8A" w:sz="8" w:space="4"/>
        </w:pBdr>
        <w:shd w:fill="F5F7FA" w:val="clear"/>
        <w:spacing w:after="80" w:before="80"/>
        <w:ind w:left="360"/>
        <w:jc w:val="center"/>
      </w:pPr>
      <w:r>
        <w:rPr>
          <w:rFonts w:ascii="Courier New" w:cs="Courier New" w:eastAsia="Courier New" w:hAnsi="Courier New"/>
          <w:b/>
          <w:bCs/>
          <w:color w:val="1A2744"/>
          <w:sz w:val="21"/>
          <w:szCs w:val="21"/>
        </w:rPr>
        <w:t xml:space="preserve">Score = (Impacto × 3) + (Frequência × 2) + (4 − Complexidade) + Estabilidade</w:t>
      </w:r>
    </w:p>
    <w:p>
      <w:pPr>
        <w:spacing w:after="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000"/>
        <w:gridCol w:w="2826"/>
      </w:tblGrid>
      <w:tr>
        <w:tc>
          <w:tcPr>
            <w:tcW w:type="dxa" w:w="2200"/>
            <w:tcBorders>
              <w:top w:val="single" w:color="3DCA8A" w:sz="1"/>
              <w:left w:val="single" w:color="3DCA8A" w:sz="1"/>
              <w:bottom w:val="single" w:color="3DCA8A" w:sz="1"/>
              <w:right w:val="single" w:color="3DCA8A" w:sz="1"/>
            </w:tcBorders>
            <w:shd w:fill="1A274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</w:t>
            </w:r>
          </w:p>
        </w:tc>
        <w:tc>
          <w:tcPr>
            <w:tcW w:type="dxa" w:w="2000"/>
            <w:tcBorders>
              <w:top w:val="single" w:color="3DCA8A" w:sz="1"/>
              <w:left w:val="single" w:color="3DCA8A" w:sz="1"/>
              <w:bottom w:val="single" w:color="3DCA8A" w:sz="1"/>
              <w:right w:val="single" w:color="3DCA8A" w:sz="1"/>
            </w:tcBorders>
            <w:shd w:fill="1A274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Peso</w:t>
            </w:r>
          </w:p>
        </w:tc>
        <w:tc>
          <w:tcPr>
            <w:tcW w:type="dxa" w:w="2000"/>
            <w:tcBorders>
              <w:top w:val="single" w:color="3DCA8A" w:sz="1"/>
              <w:left w:val="single" w:color="3DCA8A" w:sz="1"/>
              <w:bottom w:val="single" w:color="3DCA8A" w:sz="1"/>
              <w:right w:val="single" w:color="3DCA8A" w:sz="1"/>
            </w:tcBorders>
            <w:shd w:fill="1A274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Escala</w:t>
            </w:r>
          </w:p>
        </w:tc>
        <w:tc>
          <w:tcPr>
            <w:tcW w:type="dxa" w:w="2826"/>
            <w:tcBorders>
              <w:top w:val="single" w:color="3DCA8A" w:sz="1"/>
              <w:left w:val="single" w:color="3DCA8A" w:sz="1"/>
              <w:bottom w:val="single" w:color="3DCA8A" w:sz="1"/>
              <w:right w:val="single" w:color="3DCA8A" w:sz="1"/>
            </w:tcBorders>
            <w:shd w:fill="1A274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avalia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Impacto no negócio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× 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a 3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Gravidade da falha se o cenário não for coberto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Frequência de execução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×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a 3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 que frequência o cenário será executado em regressão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Complexidade de automação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× (4−n)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a 3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Facilidade de implementar o teste automatizado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Estabilidade do cenário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×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a 3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Consistência do comportamento — cenários instáveis têm menor prioridade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1"/>
        <w:spacing w:after="80" w:before="140"/>
      </w:pPr>
      <w:r>
        <w:rPr>
          <w:rFonts w:ascii="Arial" w:cs="Arial" w:eastAsia="Arial" w:hAnsi="Arial"/>
          <w:b/>
          <w:bCs/>
          <w:color w:val="1A2744"/>
          <w:sz w:val="26"/>
          <w:szCs w:val="26"/>
        </w:rPr>
        <w:t xml:space="preserve">3. Por que esses critérios foram escolhidos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Impacto com peso maior (×3) porque falhas críticas em produção causam o maior prejuízo — um bug na hierarquia de temas afeta todos os usuários da plataforma simultaneamente.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Frequência com peso intermediário (×2) porque testes que rodam em toda regressão precisam ser automatizados primeiro — garantem que o que funcionava continua funcionando.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Complexidade invertida (4−n) porque testes fáceis de automatizar têm maior retorno imediato — automatizar algo complexo demora mais e tem maior risco de falso positivo.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Estabilidade com peso menor (×1) porque testes instáveis geram ruído no CI — um teste que falha aleatoriamente é pior do que não ter o teste.</w:t>
      </w:r>
    </w:p>
    <w:p>
      <w:pPr>
        <w:spacing w:after="0" w:before="100"/>
      </w:pPr>
      <w:r>
        <w:t xml:space="preserve"/>
      </w:r>
    </w:p>
    <w:p>
      <w:pPr>
        <w:pStyle w:val="Heading1"/>
        <w:spacing w:after="80" w:before="140"/>
      </w:pPr>
      <w:r>
        <w:rPr>
          <w:rFonts w:ascii="Arial" w:cs="Arial" w:eastAsia="Arial" w:hAnsi="Arial"/>
          <w:b/>
          <w:bCs/>
          <w:color w:val="1A2744"/>
          <w:sz w:val="26"/>
          <w:szCs w:val="26"/>
        </w:rPr>
        <w:t xml:space="preserve">4. Resultado da Priorização</w:t>
      </w:r>
    </w:p>
    <w:p>
      <w:p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Dos 80 casos executados manualmente, 65 foram incluídos na Matriz de Risco para automação:</w:t>
      </w:r>
    </w:p>
    <w:p>
      <w:pPr>
        <w:spacing w:after="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000"/>
        <w:gridCol w:w="3026"/>
      </w:tblGrid>
      <w:tr>
        <w:tc>
          <w:tcPr>
            <w:tcW w:type="dxa" w:w="2200"/>
            <w:tcBorders>
              <w:top w:val="single" w:color="3DCA8A" w:sz="1"/>
              <w:left w:val="single" w:color="3DCA8A" w:sz="1"/>
              <w:bottom w:val="single" w:color="3DCA8A" w:sz="1"/>
              <w:right w:val="single" w:color="3DCA8A" w:sz="1"/>
            </w:tcBorders>
            <w:shd w:fill="1A274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Nível de Risco</w:t>
            </w:r>
          </w:p>
        </w:tc>
        <w:tc>
          <w:tcPr>
            <w:tcW w:type="dxa" w:w="1800"/>
            <w:tcBorders>
              <w:top w:val="single" w:color="3DCA8A" w:sz="1"/>
              <w:left w:val="single" w:color="3DCA8A" w:sz="1"/>
              <w:bottom w:val="single" w:color="3DCA8A" w:sz="1"/>
              <w:right w:val="single" w:color="3DCA8A" w:sz="1"/>
            </w:tcBorders>
            <w:shd w:fill="1A274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Qtd. de Casos</w:t>
            </w:r>
          </w:p>
        </w:tc>
        <w:tc>
          <w:tcPr>
            <w:tcW w:type="dxa" w:w="2000"/>
            <w:tcBorders>
              <w:top w:val="single" w:color="3DCA8A" w:sz="1"/>
              <w:left w:val="single" w:color="3DCA8A" w:sz="1"/>
              <w:bottom w:val="single" w:color="3DCA8A" w:sz="1"/>
              <w:right w:val="single" w:color="3DCA8A" w:sz="1"/>
            </w:tcBorders>
            <w:shd w:fill="1A274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3026"/>
            <w:tcBorders>
              <w:top w:val="single" w:color="3DCA8A" w:sz="1"/>
              <w:left w:val="single" w:color="3DCA8A" w:sz="1"/>
              <w:bottom w:val="single" w:color="3DCA8A" w:sz="1"/>
              <w:right w:val="single" w:color="3DCA8A" w:sz="1"/>
            </w:tcBorders>
            <w:shd w:fill="1A274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🔴 Crítico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33 casos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 a 21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Automação obrigatória — falha bloqueia o uso do produto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🟠 Alto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23 casos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 a 18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Automação recomendada — impacto significativo no fluxo do usuário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57F17"/>
                <w:sz w:val="20"/>
                <w:szCs w:val="20"/>
              </w:rPr>
              <w:t xml:space="preserve">🟡 Médio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 casos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 a 15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Automatizar após os críticos e altos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🟢 Baixo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casos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13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Manter manual ou automatizar por último — baixo retorno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1"/>
        <w:spacing w:after="80" w:before="140"/>
      </w:pPr>
      <w:r>
        <w:rPr>
          <w:rFonts w:ascii="Arial" w:cs="Arial" w:eastAsia="Arial" w:hAnsi="Arial"/>
          <w:b/>
          <w:bCs/>
          <w:color w:val="1A2744"/>
          <w:sz w:val="26"/>
          <w:szCs w:val="26"/>
        </w:rPr>
        <w:t xml:space="preserve">5. Ferramenta Escolhida e Justificativa</w:t>
      </w:r>
    </w:p>
    <w:p>
      <w:p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Stack de automação: Playwright + Cucumber (BDD) + Node.js + GitHub Actions</w:t>
      </w:r>
    </w:p>
    <w:p>
      <w:pPr>
        <w:spacing w:after="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3DCA8A" w:sz="1"/>
              <w:left w:val="single" w:color="3DCA8A" w:sz="1"/>
              <w:bottom w:val="single" w:color="3DCA8A" w:sz="1"/>
              <w:right w:val="single" w:color="3DCA8A" w:sz="1"/>
            </w:tcBorders>
            <w:shd w:fill="1A274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Decisão</w:t>
            </w:r>
          </w:p>
        </w:tc>
        <w:tc>
          <w:tcPr>
            <w:tcW w:type="dxa" w:w="6526"/>
            <w:tcBorders>
              <w:top w:val="single" w:color="3DCA8A" w:sz="1"/>
              <w:left w:val="single" w:color="3DCA8A" w:sz="1"/>
              <w:bottom w:val="single" w:color="3DCA8A" w:sz="1"/>
              <w:right w:val="single" w:color="3DCA8A" w:sz="1"/>
            </w:tcBorders>
            <w:shd w:fill="1A274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Justificativa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Playwright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Alta performance, suporte nativo a múltiplos navegadores, headless robusto e integração simples com CI/CD.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Cucumber (BDD)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Os critérios de aceite do documento já estão em formato Gherkin (Dado/Quando/Então) — reaproveitamos o trabalho existente sem reescrever os cenários.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Node.js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Alinhado com o ecossistema do Playwright e compatível com o conhecimento do time.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Integração nativa com o repositório, gratuito para repositórios públicos e simula pipeline CI/CD de empresa real.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Page Object Model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Centraliza os seletores em classes por página — se a tela mudar, altera em um único lugar em vez de em todos os testes.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1"/>
        <w:spacing w:after="80" w:before="140"/>
      </w:pPr>
      <w:r>
        <w:rPr>
          <w:rFonts w:ascii="Arial" w:cs="Arial" w:eastAsia="Arial" w:hAnsi="Arial"/>
          <w:b/>
          <w:bCs/>
          <w:color w:val="1A2744"/>
          <w:sz w:val="26"/>
          <w:szCs w:val="26"/>
        </w:rPr>
        <w:t xml:space="preserve">6. Processo de Automação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Execução manual completa — 80 casos, 85% de aprovação, 10 bugs identificados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Construção da Matriz de Risco — pontuação e priorização dos 65 casos candidatos à automação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Configuração do repositório — organização Squad-Iterasys-145 no GitHub com branches main e develop protegidas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Estrutura do projeto — Page Object Model com LoginPage, HomePage e AdmPage já implementados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Primeiro cenário BDD — login na plataforma com Cucumber e Playwright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CI/CD configurado — GitHub Actions rodando a cada PR para a develop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Fluxo de trabalho — feature branch por membro do time com revisão obrigatória antes do merge</w:t>
      </w:r>
    </w:p>
    <w:p>
      <w:pPr>
        <w:spacing w:after="0" w:before="100"/>
      </w:pPr>
      <w:r>
        <w:t xml:space="preserve"/>
      </w:r>
    </w:p>
    <w:p>
      <w:pPr>
        <w:pBdr>
          <w:top w:val="single" w:color="3DCA8A" w:sz="4" w:space="4"/>
        </w:pBdr>
        <w:spacing w:after="0" w:before="160"/>
      </w:pPr>
      <w:r>
        <w:rPr>
          <w:rFonts w:ascii="Arial" w:cs="Arial" w:eastAsia="Arial" w:hAnsi="Arial"/>
          <w:i/>
          <w:iCs/>
          <w:color w:val="78909C"/>
          <w:sz w:val="17"/>
          <w:szCs w:val="17"/>
        </w:rPr>
        <w:t xml:space="preserve">Squad Iterasys-145   ·   github.com/Squad-Iterasys-145/learningflix-automation   ·   Abril 2026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160"/>
      <w:outlineLvl w:val="0"/>
    </w:pPr>
    <w:rPr>
      <w:rFonts w:ascii="Arial" w:cs="Arial" w:eastAsia="Arial" w:hAnsi="Arial"/>
      <w:b/>
      <w:bCs/>
      <w:color w:val="1A274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2026-04-16T20:45:54.989Z</dcterms:created>
  <dcterms:modified xsi:type="dcterms:W3CDTF">2026-04-16T20:45:54.990Z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