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Autopay Enrollment Policy</w:t>
      </w:r>
    </w:p>
    <w:p>
      <w:pPr>
        <w:jc w:val="center"/>
      </w:pPr>
      <w:r>
        <w:rPr>
          <w:i/>
          <w:color w:val="555555"/>
          <w:sz w:val="20"/>
        </w:rPr>
        <w:t>Retail Banking Division  |  Effective Date: January 1, 2024  |  Version 2.1</w:t>
      </w:r>
    </w:p>
    <w:p/>
    <w:p>
      <w:pPr>
        <w:pStyle w:val="Heading2"/>
      </w:pPr>
      <w:r>
        <w:t>1. Overview</w:t>
      </w:r>
    </w:p>
    <w:p>
      <w:r>
        <w:rPr>
          <w:b/>
        </w:rPr>
        <w:t>DocBridgeAI Autopay</w:t>
      </w:r>
      <w:r>
        <w:t xml:space="preserve"> is a recurring payment service that allows eligible account holders to authorize automatic payments from a designated funding source each billing cycle. Customers may select the </w:t>
      </w:r>
      <w:r>
        <w:rPr>
          <w:i/>
        </w:rPr>
        <w:t>full statement balance</w:t>
      </w:r>
      <w:r>
        <w:t xml:space="preserve">, the </w:t>
      </w:r>
      <w:r>
        <w:rPr>
          <w:i/>
        </w:rPr>
        <w:t>minimum payment due</w:t>
      </w:r>
      <w:r>
        <w:t xml:space="preserve">, or a </w:t>
      </w:r>
      <w:r>
        <w:rPr>
          <w:i/>
        </w:rPr>
        <w:t>fixed custom amount</w:t>
      </w:r>
      <w:r>
        <w:t xml:space="preserve"> (no less than the minimum payment due). This policy governs enrollment eligibility, processing rules, modification procedures, and the fee structure associated with the service.</w:t>
      </w:r>
    </w:p>
    <w:p>
      <w:pPr>
        <w:pStyle w:val="Heading2"/>
      </w:pPr>
      <w:r>
        <w:t>2. Eligibility Requirements</w:t>
      </w:r>
    </w:p>
    <w:p>
      <w:r>
        <w:t>To enroll in autopay, the following conditions must all be satisfied:</w:t>
      </w:r>
    </w:p>
    <w:p>
      <w:pPr>
        <w:pStyle w:val="ListBullet"/>
      </w:pPr>
      <w:r>
        <w:t>Account must be in good standing with no pending collections activity.</w:t>
      </w:r>
    </w:p>
    <w:p>
      <w:pPr>
        <w:pStyle w:val="ListBullet"/>
      </w:pPr>
      <w:r>
        <w:t>Account must have been open for a minimum of 90 days.</w:t>
      </w:r>
    </w:p>
    <w:p>
      <w:pPr>
        <w:pStyle w:val="ListBullet"/>
      </w:pPr>
      <w:r>
        <w:t>A verified email address and a valid U.S. phone number must be on file.</w:t>
      </w:r>
    </w:p>
    <w:p>
      <w:pPr>
        <w:pStyle w:val="ListBullet"/>
      </w:pPr>
      <w:r>
        <w:t>No active fraud investigations or security freezes on the account.</w:t>
      </w:r>
    </w:p>
    <w:p>
      <w:pPr>
        <w:pStyle w:val="ListBullet"/>
      </w:pPr>
      <w:r>
        <w:t>No unresolved chargeback disputes exceeding $500 in aggregate.</w:t>
      </w:r>
    </w:p>
    <w:p>
      <w:pPr>
        <w:pStyle w:val="ListBullet"/>
      </w:pPr>
      <w:r>
        <w:t>Funding source (external bank account) must be verified via micro-deposit or instant verification.</w:t>
      </w:r>
    </w:p>
    <w:p/>
    <w:p>
      <w:r>
        <w:rPr>
          <w:b/>
        </w:rPr>
        <w:t xml:space="preserve">Important: </w:t>
      </w:r>
      <w:r>
        <w:t xml:space="preserve">Accounts flagged by the Security Compliance Unit (SCU) are </w:t>
      </w:r>
      <w:r>
        <w:rPr>
          <w:b/>
        </w:rPr>
        <w:t>not eligible</w:t>
      </w:r>
      <w:r>
        <w:t xml:space="preserve"> for enrollment until the underlying issue is fully resolved and the account status has been reinstated to Current by a Level 2 representative or above.</w:t>
      </w:r>
    </w:p>
    <w:p>
      <w:pPr>
        <w:pStyle w:val="Heading2"/>
      </w:pPr>
      <w:r>
        <w:t>3. Enrollment Process</w:t>
      </w:r>
    </w:p>
    <w:p>
      <w:r>
        <w:t xml:space="preserve">Customers may enroll through the </w:t>
      </w:r>
      <w:r>
        <w:rPr>
          <w:b/>
        </w:rPr>
        <w:t>online banking portal</w:t>
      </w:r>
      <w:r>
        <w:t xml:space="preserve"> or by contacting Customer Service via phone or live chat. The enrollment form requires:</w:t>
      </w:r>
    </w:p>
    <w:p>
      <w:pPr>
        <w:pStyle w:val="ListNumber"/>
      </w:pPr>
      <w:r>
        <w:t>Selection of payment amount type (full balance, minimum due, or fixed amount).</w:t>
      </w:r>
    </w:p>
    <w:p>
      <w:pPr>
        <w:pStyle w:val="ListNumber"/>
      </w:pPr>
      <w:r>
        <w:t>Designation and verification of the funding source.</w:t>
      </w:r>
    </w:p>
    <w:p>
      <w:pPr>
        <w:pStyle w:val="ListNumber"/>
      </w:pPr>
      <w:r>
        <w:t>Confirmation of the email address to receive autopay notifications.</w:t>
      </w:r>
    </w:p>
    <w:p>
      <w:pPr>
        <w:pStyle w:val="ListNumber"/>
      </w:pPr>
      <w:r>
        <w:t>Acknowledgment of the terms outlined in this policy.</w:t>
      </w:r>
    </w:p>
    <w:p/>
    <w:p>
      <w:r>
        <w:rPr>
          <w:b/>
        </w:rPr>
        <w:t xml:space="preserve">Processing timeline: </w:t>
      </w:r>
      <w:r>
        <w:t xml:space="preserve">Enrollment must be completed at least </w:t>
      </w:r>
      <w:r>
        <w:rPr>
          <w:b/>
        </w:rPr>
        <w:t>3 business days</w:t>
      </w:r>
      <w:r>
        <w:t xml:space="preserve"> before the next payment due date for autopay to activate in the current cycle. Enrollments received within 3 business days of the due date take effect the following cycle.</w:t>
      </w:r>
    </w:p>
    <w:p>
      <w:pPr>
        <w:pStyle w:val="Heading2"/>
      </w:pPr>
      <w:r>
        <w:t>4. Payment Processing Rules</w:t>
      </w:r>
    </w:p>
    <w:p>
      <w:r>
        <w:t xml:space="preserve">Autopayments are processed on the </w:t>
      </w:r>
      <w:r>
        <w:rPr>
          <w:b/>
        </w:rPr>
        <w:t>payment due date</w:t>
      </w:r>
      <w:r>
        <w:t xml:space="preserve"> of each billing cycle. If the due date falls on a weekend or federal banking holiday, processing occurs on the next available business day. The customer must ensure sufficient funds are available on the processing date.</w:t>
      </w:r>
    </w:p>
    <w:p/>
    <w:p>
      <w:r>
        <w:rPr>
          <w:b/>
        </w:rPr>
        <w:t xml:space="preserve">Note: </w:t>
      </w:r>
      <w:r>
        <w:t xml:space="preserve">The payment amount reflects the selected type </w:t>
      </w:r>
      <w:r>
        <w:rPr>
          <w:i/>
        </w:rPr>
        <w:t>as of the processing date</w:t>
      </w:r>
      <w:r>
        <w:t>, not the enrollment date. Review your monthly statement to confirm the expected autopay amount.</w:t>
      </w:r>
    </w:p>
    <w:p>
      <w:pPr>
        <w:pStyle w:val="Heading2"/>
      </w:pPr>
      <w:r>
        <w:t>5. Fee Schedule</w:t>
      </w:r>
    </w:p>
    <w:p>
      <w:r>
        <w:t>The following fees apply to autopay-related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Fee Type</w:t>
            </w:r>
          </w:p>
        </w:tc>
        <w:tc>
          <w:tcPr>
            <w:tcW w:type="dxa" w:w="2160"/>
          </w:tcPr>
          <w:p>
            <w:r>
              <w:rPr>
                <w:b/>
              </w:rPr>
              <w:t>Amount</w:t>
            </w:r>
          </w:p>
        </w:tc>
        <w:tc>
          <w:tcPr>
            <w:tcW w:type="dxa" w:w="2160"/>
          </w:tcPr>
          <w:p>
            <w:r>
              <w:rPr>
                <w:b/>
              </w:rPr>
              <w:t>When Applied</w:t>
            </w:r>
          </w:p>
        </w:tc>
        <w:tc>
          <w:tcPr>
            <w:tcW w:type="dxa" w:w="2160"/>
          </w:tcPr>
          <w:p>
            <w:r>
              <w:rPr>
                <w:b/>
              </w:rPr>
              <w:t>Waiver Eligible</w:t>
            </w:r>
          </w:p>
        </w:tc>
      </w:tr>
      <w:tr>
        <w:tc>
          <w:tcPr>
            <w:tcW w:type="dxa" w:w="2160"/>
          </w:tcPr>
          <w:p>
            <w:r>
              <w:t>Returned Payment</w:t>
            </w:r>
          </w:p>
        </w:tc>
        <w:tc>
          <w:tcPr>
            <w:tcW w:type="dxa" w:w="2160"/>
          </w:tcPr>
          <w:p>
            <w:r>
              <w:t>$35.00</w:t>
            </w:r>
          </w:p>
        </w:tc>
        <w:tc>
          <w:tcPr>
            <w:tcW w:type="dxa" w:w="2160"/>
          </w:tcPr>
          <w:p>
            <w:r>
              <w:t>Per occurrence when autopay fails due to NSF</w:t>
            </w:r>
          </w:p>
        </w:tc>
        <w:tc>
          <w:tcPr>
            <w:tcW w:type="dxa" w:w="2160"/>
          </w:tcPr>
          <w:p>
            <w:r>
              <w:t>First-time courtesy waiver available</w:t>
            </w:r>
          </w:p>
        </w:tc>
      </w:tr>
      <w:tr>
        <w:tc>
          <w:tcPr>
            <w:tcW w:type="dxa" w:w="2160"/>
          </w:tcPr>
          <w:p>
            <w:r>
              <w:t>Late Payment</w:t>
            </w:r>
          </w:p>
        </w:tc>
        <w:tc>
          <w:tcPr>
            <w:tcW w:type="dxa" w:w="2160"/>
          </w:tcPr>
          <w:p>
            <w:r>
              <w:t>$27.00</w:t>
            </w:r>
          </w:p>
        </w:tc>
        <w:tc>
          <w:tcPr>
            <w:tcW w:type="dxa" w:w="2160"/>
          </w:tcPr>
          <w:p>
            <w:r>
              <w:t>If autopay is cancelled and manual payment is missed</w:t>
            </w:r>
          </w:p>
        </w:tc>
        <w:tc>
          <w:tcPr>
            <w:tcW w:type="dxa" w:w="2160"/>
          </w:tcPr>
          <w:p>
            <w:r>
              <w:t>Hardship waiver — supervisor approval required</w:t>
            </w:r>
          </w:p>
        </w:tc>
      </w:tr>
      <w:tr>
        <w:tc>
          <w:tcPr>
            <w:tcW w:type="dxa" w:w="2160"/>
          </w:tcPr>
          <w:p>
            <w:r>
              <w:t>Paper Statement</w:t>
            </w:r>
          </w:p>
        </w:tc>
        <w:tc>
          <w:tcPr>
            <w:tcW w:type="dxa" w:w="2160"/>
          </w:tcPr>
          <w:p>
            <w:r>
              <w:t>$2.50</w:t>
            </w:r>
          </w:p>
        </w:tc>
        <w:tc>
          <w:tcPr>
            <w:tcW w:type="dxa" w:w="2160"/>
          </w:tcPr>
          <w:p>
            <w:r>
              <w:t>Monthly, if enrolled in autopay but not e-statements</w:t>
            </w:r>
          </w:p>
        </w:tc>
        <w:tc>
          <w:tcPr>
            <w:tcW w:type="dxa" w:w="2160"/>
          </w:tcPr>
          <w:p>
            <w:r>
              <w:t>Waived automatically upon e-statement enrollment</w:t>
            </w:r>
          </w:p>
        </w:tc>
      </w:tr>
      <w:tr>
        <w:tc>
          <w:tcPr>
            <w:tcW w:type="dxa" w:w="2160"/>
          </w:tcPr>
          <w:p>
            <w:r>
              <w:t>Re-enrollment Fee</w:t>
            </w:r>
          </w:p>
        </w:tc>
        <w:tc>
          <w:tcPr>
            <w:tcW w:type="dxa" w:w="2160"/>
          </w:tcPr>
          <w:p>
            <w:r>
              <w:t>$0.00</w:t>
            </w:r>
          </w:p>
        </w:tc>
        <w:tc>
          <w:tcPr>
            <w:tcW w:type="dxa" w:w="2160"/>
          </w:tcPr>
          <w:p>
            <w:r>
              <w:t>No charge for re-enrolling after cancellation</w:t>
            </w:r>
          </w:p>
        </w:tc>
        <w:tc>
          <w:tcPr>
            <w:tcW w:type="dxa" w:w="2160"/>
          </w:tcPr>
          <w:p>
            <w:r>
              <w:t>N/A — no fee assessed</w:t>
            </w:r>
          </w:p>
        </w:tc>
      </w:tr>
    </w:tbl>
    <w:p/>
    <w:p>
      <w:pPr>
        <w:pStyle w:val="Heading2"/>
      </w:pPr>
      <w:r>
        <w:t>6. Cancellation and Modifications</w:t>
      </w:r>
    </w:p>
    <w:p>
      <w:r>
        <w:t xml:space="preserve">Customers may </w:t>
      </w:r>
      <w:r>
        <w:rPr>
          <w:b/>
        </w:rPr>
        <w:t>cancel or modify</w:t>
      </w:r>
      <w:r>
        <w:t xml:space="preserve"> their autopay enrollment at any time via the online portal or Customer Service. Changes submitted fewer than 3 business days before the next scheduled payment may not take effect until the following billing cycle. The customer remains responsible for any payments already in process at the time of the cancellation request.</w:t>
      </w:r>
    </w:p>
    <w:p/>
    <w:p>
      <w:r>
        <w:t xml:space="preserve">The bank reserves the right to </w:t>
      </w:r>
      <w:r>
        <w:rPr>
          <w:b/>
        </w:rPr>
        <w:t>automatically disenroll</w:t>
      </w:r>
      <w:r>
        <w:t xml:space="preserve"> a customer from autopay in the following circumstances:</w:t>
      </w:r>
    </w:p>
    <w:p>
      <w:pPr>
        <w:pStyle w:val="ListBullet"/>
      </w:pPr>
      <w:r>
        <w:t>Two or more returned payments within a 12-month period.</w:t>
      </w:r>
    </w:p>
    <w:p>
      <w:pPr>
        <w:pStyle w:val="ListBullet"/>
      </w:pPr>
      <w:r>
        <w:t>Account status changes to delinquent, suspended, or closed.</w:t>
      </w:r>
    </w:p>
    <w:p>
      <w:pPr>
        <w:pStyle w:val="ListBullet"/>
      </w:pPr>
      <w:r>
        <w:t>Funding source verification fails upon re-validation.</w:t>
      </w:r>
    </w:p>
    <w:p>
      <w:pPr>
        <w:pStyle w:val="ListBullet"/>
      </w:pPr>
      <w:r>
        <w:t>Fraud or security flag placed on the account by the SCU.</w:t>
      </w:r>
    </w:p>
    <w:sectPr w:rsidR="00FC693F" w:rsidRPr="0006063C" w:rsidSect="00034616">
      <w:headerReference w:type="default" r:id="rId9"/>
      <w:footerReference w:type="default" r:id="rId10"/>
      <w:pgSz w:w="12240" w:h="15840"/>
      <w:pgMar w:top="1728"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Autopay Policy v2.1  |  Confidential  |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6"/>
      </w:rPr>
      <w:t>CAPITAL ONE BANKING  |  INTERNAL POLICY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