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Abstract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study evaluates the energy efficiency of four small-scale gravitational storage-regeneration concepts — buoyant displacement, electromagnetic assist, dual-weight counterbalance, and variable counterweight — using a MATLAB simulation with strict end-to-end energy bookkeeping. Each design is modeled under identical baseline conditions and assessed by generated electrical energy per drop, electrical energy required for lift, round-trip efficiency (Eout/Ein and Eout/(mgh)), peak power, and detailed loss attribution. The analysis ranks concepts by realistic round-trip efficiency and identifies dominant mechanical and electrical loss channels. It also evaluates when active control elements produce a net benefit after accounting for coil and actuation energy. Reproducible test protocols and parameter files are provided to guide prototype selection and future experimental validation.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