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SABLE HARBOR Compute and Power Requirements Reassessment</w:t>
      </w:r>
    </w:p>
    <w:p>
      <w:r>
        <w:rPr>
          <w:b/>
        </w:rPr>
        <w:t>Decision-grade demand model for Alexandria, Atlas Meridian, Foundry Field, and the shared enterprise estate</w:t>
      </w:r>
    </w:p>
    <w:p>
      <w:r>
        <w:t>Executive conclusion: the prior repository model is directionally useful but mixes capacity abstractions with electrical planning. It is probably generous on near-term ordinary CPU/RAM, plausible on protected storage, and insufficiently explicit about modern AI rack power. The correct near-term strategy is professional colocation with 75-100 kW of usable IT capacity and a 150-200 kW facility envelope, while beginning development of a modular owned facility designed around a 500 kW installed path and a 1 MW utility/site expansion path.</w:t>
      </w:r>
    </w:p>
    <w:p>
      <w:pPr>
        <w:pStyle w:val="Heading1"/>
      </w:pPr>
      <w:r>
        <w:t>1. Decision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t>Horizon</w:t>
            </w:r>
          </w:p>
        </w:tc>
        <w:tc>
          <w:tcPr>
            <w:tcW w:type="dxa" w:w="2016"/>
          </w:tcPr>
          <w:p>
            <w:r>
              <w:t>Efficiency / edge-heavy</w:t>
            </w:r>
          </w:p>
        </w:tc>
        <w:tc>
          <w:tcPr>
            <w:tcW w:type="dxa" w:w="2016"/>
          </w:tcPr>
          <w:p>
            <w:r>
              <w:t>Base</w:t>
            </w:r>
          </w:p>
        </w:tc>
        <w:tc>
          <w:tcPr>
            <w:tcW w:type="dxa" w:w="2016"/>
          </w:tcPr>
          <w:p>
            <w:r>
              <w:t>High-growth / centralized</w:t>
            </w:r>
          </w:p>
        </w:tc>
        <w:tc>
          <w:tcPr>
            <w:tcW w:type="dxa" w:w="2016"/>
          </w:tcPr>
          <w:p>
            <w:r>
              <w:t>Infrastructure implication</w:t>
            </w:r>
          </w:p>
        </w:tc>
      </w:tr>
      <w:tr>
        <w:tc>
          <w:tcPr>
            <w:tcW w:type="dxa" w:w="2016"/>
          </w:tcPr>
          <w:p>
            <w:r>
              <w:t>2027</w:t>
            </w:r>
          </w:p>
        </w:tc>
        <w:tc>
          <w:tcPr>
            <w:tcW w:type="dxa" w:w="2016"/>
          </w:tcPr>
          <w:p>
            <w:r>
              <w:t>75 kW IT</w:t>
            </w:r>
          </w:p>
        </w:tc>
        <w:tc>
          <w:tcPr>
            <w:tcW w:type="dxa" w:w="2016"/>
          </w:tcPr>
          <w:p>
            <w:r>
              <w:t>85 kW IT</w:t>
            </w:r>
          </w:p>
        </w:tc>
        <w:tc>
          <w:tcPr>
            <w:tcW w:type="dxa" w:w="2016"/>
          </w:tcPr>
          <w:p>
            <w:r>
              <w:t>120 kW IT</w:t>
            </w:r>
          </w:p>
        </w:tc>
        <w:tc>
          <w:tcPr>
            <w:tcW w:type="dxa" w:w="2016"/>
          </w:tcPr>
          <w:p>
            <w:r>
              <w:t>Colo: 75-100 kW usable; 150-200 kW utility/facility envelope</w:t>
            </w:r>
          </w:p>
        </w:tc>
      </w:tr>
      <w:tr>
        <w:tc>
          <w:tcPr>
            <w:tcW w:type="dxa" w:w="2016"/>
          </w:tcPr>
          <w:p>
            <w:r>
              <w:t>2031</w:t>
            </w:r>
          </w:p>
        </w:tc>
        <w:tc>
          <w:tcPr>
            <w:tcW w:type="dxa" w:w="2016"/>
          </w:tcPr>
          <w:p>
            <w:r>
              <w:t>115 kW IT</w:t>
            </w:r>
          </w:p>
        </w:tc>
        <w:tc>
          <w:tcPr>
            <w:tcW w:type="dxa" w:w="2016"/>
          </w:tcPr>
          <w:p>
            <w:r>
              <w:t>175 kW IT</w:t>
            </w:r>
          </w:p>
        </w:tc>
        <w:tc>
          <w:tcPr>
            <w:tcW w:type="dxa" w:w="2016"/>
          </w:tcPr>
          <w:p>
            <w:r>
              <w:t>355 kW IT</w:t>
            </w:r>
          </w:p>
        </w:tc>
        <w:tc>
          <w:tcPr>
            <w:tcW w:type="dxa" w:w="2016"/>
          </w:tcPr>
          <w:p>
            <w:r>
              <w:t>Owned primary becomes economically and operationally credible; install 300-500 kW modular plant</w:t>
            </w:r>
          </w:p>
        </w:tc>
      </w:tr>
      <w:tr>
        <w:tc>
          <w:tcPr>
            <w:tcW w:type="dxa" w:w="2016"/>
          </w:tcPr>
          <w:p>
            <w:r>
              <w:t>2036</w:t>
            </w:r>
          </w:p>
        </w:tc>
        <w:tc>
          <w:tcPr>
            <w:tcW w:type="dxa" w:w="2016"/>
          </w:tcPr>
          <w:p>
            <w:r>
              <w:t>175 kW IT</w:t>
            </w:r>
          </w:p>
        </w:tc>
        <w:tc>
          <w:tcPr>
            <w:tcW w:type="dxa" w:w="2016"/>
          </w:tcPr>
          <w:p>
            <w:r>
              <w:t>370 kW IT</w:t>
            </w:r>
          </w:p>
        </w:tc>
        <w:tc>
          <w:tcPr>
            <w:tcW w:type="dxa" w:w="2016"/>
          </w:tcPr>
          <w:p>
            <w:r>
              <w:t>1.2 MW IT</w:t>
            </w:r>
          </w:p>
        </w:tc>
        <w:tc>
          <w:tcPr>
            <w:tcW w:type="dxa" w:w="2016"/>
          </w:tcPr>
          <w:p>
            <w:r>
              <w:t>Base supports ~1 MW-capable site; high case requires 2 MW pathway</w:t>
            </w:r>
          </w:p>
        </w:tc>
      </w:tr>
    </w:tbl>
    <w:p>
      <w:r>
        <w:t>The most important result is that customer-market size does not map directly to central data-center power. Foundry Field is a deployable product operated under customer authority, while Atlas Meridian explicitly separates Sable Harbor's professional plane from a transferable client plane. Centralizing every mine's operational data and inference would contradict the product architecture and would greatly inflate infrastructure requirements.</w:t>
      </w:r>
    </w:p>
    <w:p>
      <w:pPr>
        <w:pStyle w:val="Heading1"/>
      </w:pPr>
      <w:r>
        <w:t>2. What the repository actually requires</w:t>
      </w:r>
    </w:p>
    <w:p>
      <w:pPr>
        <w:pStyle w:val="Heading2"/>
      </w:pPr>
      <w:r>
        <w:t>Alexandria</w:t>
      </w:r>
    </w:p>
    <w:p>
      <w:r>
        <w:t>Alexandria is the internal institutional intelligence environment. Its durable requirements are provenance, temporal reconstruction, controlled discovery, protected institutional knowledge, and Daedalus access. Its conventional workload is database/search/object storage/graph/indexing/API/audit infrastructure. Its accelerator requirement comes primarily from Daedalus and any internal model evaluation or embedding workloads.</w:t>
      </w:r>
    </w:p>
    <w:p>
      <w:pPr>
        <w:pStyle w:val="Heading2"/>
      </w:pPr>
      <w:r>
        <w:t>Atlas Meridian</w:t>
      </w:r>
    </w:p>
    <w:p>
      <w:r>
        <w:t>Atlas Meridian is both an externally licensed product and Advisory's professional matter system. Its two-plane architecture is decisive for capacity planning: the firm-controlled professional plane can remain central, while the client plane may contain client-specific data, agents, memory, workflows, connectors, and tests and is designed to be transferable and operable by the client. Therefore Atlas central demand is driven by the fraction of customers that choose hosted operation, the intensity of agent usage, and the amount of professional-plane inference—not simply customer count.</w:t>
      </w:r>
    </w:p>
    <w:p>
      <w:pPr>
        <w:pStyle w:val="Heading2"/>
      </w:pPr>
      <w:r>
        <w:t>Foundry Field</w:t>
      </w:r>
    </w:p>
    <w:p>
      <w:r>
        <w:t>Foundry Field is the deployable commercial product on the Foundry substrate. The customer remains the operating authority. This strongly favors local or customer-controlled execution for OT-adjacent workloads and makes the central Sable Harbor estate a management, release, analytics, support, and optional hosted-compute plane rather than the mandatory execution environment for every mine.</w:t>
      </w:r>
    </w:p>
    <w:p>
      <w:pPr>
        <w:pStyle w:val="Heading1"/>
      </w:pPr>
      <w:r>
        <w:t>3. Why the old power model feels both high and low</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Prior element</w:t>
            </w:r>
          </w:p>
        </w:tc>
        <w:tc>
          <w:tcPr>
            <w:tcW w:type="dxa" w:w="2520"/>
          </w:tcPr>
          <w:p>
            <w:r>
              <w:t>Assessment</w:t>
            </w:r>
          </w:p>
        </w:tc>
        <w:tc>
          <w:tcPr>
            <w:tcW w:type="dxa" w:w="2520"/>
          </w:tcPr>
          <w:p>
            <w:r>
              <w:t>Why</w:t>
            </w:r>
          </w:p>
        </w:tc>
        <w:tc>
          <w:tcPr>
            <w:tcW w:type="dxa" w:w="2520"/>
          </w:tcPr>
          <w:p>
            <w:r>
              <w:t>Action</w:t>
            </w:r>
          </w:p>
        </w:tc>
      </w:tr>
      <w:tr>
        <w:tc>
          <w:tcPr>
            <w:tcW w:type="dxa" w:w="2520"/>
          </w:tcPr>
          <w:p>
            <w:r>
              <w:t>128 vCPU / 1 TiB for Alexandria</w:t>
            </w:r>
          </w:p>
        </w:tc>
        <w:tc>
          <w:tcPr>
            <w:tcW w:type="dxa" w:w="2520"/>
          </w:tcPr>
          <w:p>
            <w:r>
              <w:t>Likely high near-term for non-AI application tier</w:t>
            </w:r>
          </w:p>
        </w:tc>
        <w:tc>
          <w:tcPr>
            <w:tcW w:type="dxa" w:w="2520"/>
          </w:tcPr>
          <w:p>
            <w:r>
              <w:t>Modern enterprise databases/search/workflow do not require huge CPU estates at this user count</w:t>
            </w:r>
          </w:p>
        </w:tc>
        <w:tc>
          <w:tcPr>
            <w:tcW w:type="dxa" w:w="2520"/>
          </w:tcPr>
          <w:p>
            <w:r>
              <w:t>Keep redundancy; benchmark before buying</w:t>
            </w:r>
          </w:p>
        </w:tc>
      </w:tr>
      <w:tr>
        <w:tc>
          <w:tcPr>
            <w:tcW w:type="dxa" w:w="2520"/>
          </w:tcPr>
          <w:p>
            <w:r>
              <w:t>100 TiB protected storage</w:t>
            </w:r>
          </w:p>
        </w:tc>
        <w:tc>
          <w:tcPr>
            <w:tcW w:type="dxa" w:w="2520"/>
          </w:tcPr>
          <w:p>
            <w:r>
              <w:t>Reasonable, possibly low later</w:t>
            </w:r>
          </w:p>
        </w:tc>
        <w:tc>
          <w:tcPr>
            <w:tcW w:type="dxa" w:w="2520"/>
          </w:tcPr>
          <w:p>
            <w:r>
              <w:t>Retention, raw Collection, indexes, versions and Daedalus memory can dominate capacity</w:t>
            </w:r>
          </w:p>
        </w:tc>
        <w:tc>
          <w:tcPr>
            <w:tcW w:type="dxa" w:w="2520"/>
          </w:tcPr>
          <w:p>
            <w:r>
              <w:t>Size from ingest/retention, not employees</w:t>
            </w:r>
          </w:p>
        </w:tc>
      </w:tr>
      <w:tr>
        <w:tc>
          <w:tcPr>
            <w:tcW w:type="dxa" w:w="2520"/>
          </w:tcPr>
          <w:p>
            <w:r>
              <w:t>8 planning-class GPUs</w:t>
            </w:r>
          </w:p>
        </w:tc>
        <w:tc>
          <w:tcPr>
            <w:tcW w:type="dxa" w:w="2520"/>
          </w:tcPr>
          <w:p>
            <w:r>
              <w:t>Plausible initial accelerator count</w:t>
            </w:r>
          </w:p>
        </w:tc>
        <w:tc>
          <w:tcPr>
            <w:tcW w:type="dxa" w:w="2520"/>
          </w:tcPr>
          <w:p>
            <w:r>
              <w:t>One modern 8-GPU DGX-class system is a serious inference block</w:t>
            </w:r>
          </w:p>
        </w:tc>
        <w:tc>
          <w:tcPr>
            <w:tcW w:type="dxa" w:w="2520"/>
          </w:tcPr>
          <w:p>
            <w:r>
              <w:t>Treat as a discrete 15 kW-class system</w:t>
            </w:r>
          </w:p>
        </w:tc>
      </w:tr>
      <w:tr>
        <w:tc>
          <w:tcPr>
            <w:tcW w:type="dxa" w:w="2520"/>
          </w:tcPr>
          <w:p>
            <w:r>
              <w:t>512 vCPU / 2 TiB primary production</w:t>
            </w:r>
          </w:p>
        </w:tc>
        <w:tc>
          <w:tcPr>
            <w:tcW w:type="dxa" w:w="2520"/>
          </w:tcPr>
          <w:p>
            <w:r>
              <w:t>Probably high near-term conventional capacity</w:t>
            </w:r>
          </w:p>
        </w:tc>
        <w:tc>
          <w:tcPr>
            <w:tcW w:type="dxa" w:w="2520"/>
          </w:tcPr>
          <w:p>
            <w:r>
              <w:t>Shared services can fit in a modest number of modern dual-socket servers</w:t>
            </w:r>
          </w:p>
        </w:tc>
        <w:tc>
          <w:tcPr>
            <w:tcW w:type="dxa" w:w="2520"/>
          </w:tcPr>
          <w:p>
            <w:r>
              <w:t>Do not translate vCPU count into facility size</w:t>
            </w:r>
          </w:p>
        </w:tc>
      </w:tr>
      <w:tr>
        <w:tc>
          <w:tcPr>
            <w:tcW w:type="dxa" w:w="2520"/>
          </w:tcPr>
          <w:p>
            <w:r>
              <w:t>Electrical/rack assumptions</w:t>
            </w:r>
          </w:p>
        </w:tc>
        <w:tc>
          <w:tcPr>
            <w:tcW w:type="dxa" w:w="2520"/>
          </w:tcPr>
          <w:p>
            <w:r>
              <w:t>Potentially low</w:t>
            </w:r>
          </w:p>
        </w:tc>
        <w:tc>
          <w:tcPr>
            <w:tcW w:type="dxa" w:w="2520"/>
          </w:tcPr>
          <w:p>
            <w:r>
              <w:t>Current high-end 8-GPU systems draw up to 15 kW; rack-scale GB300 can reach ~142 kW</w:t>
            </w:r>
          </w:p>
        </w:tc>
        <w:tc>
          <w:tcPr>
            <w:tcW w:type="dxa" w:w="2520"/>
          </w:tcPr>
          <w:p>
            <w:r>
              <w:t>Design for liquid cooling and high-density power even if first deployment is smaller</w:t>
            </w:r>
          </w:p>
        </w:tc>
      </w:tr>
    </w:tbl>
    <w:p>
      <w:pPr>
        <w:pStyle w:val="Heading1"/>
      </w:pPr>
      <w:r>
        <w:t>4. External engineering benchmarks</w:t>
      </w:r>
    </w:p>
    <w:p>
      <w:r>
        <w:t>The IEA's 2025 Energy and AI report projects global data-center electricity consumption growing about 15% annually to 2030 in its base case. Within that total, electricity used by accelerated servers grows about 30% annually, while conventional-server electricity grows about 9% annually. These are not Sable Harbor forecasts, but they are useful reference classes: AI demand is structurally the faster-growing part of the estate.</w:t>
      </w:r>
    </w:p>
    <w:p>
      <w:r>
        <w:t>Efficiency is also improving rapidly. Epoch AI reports roughly 3x annual improvement in compute efficiency for comparable pre-training performance and roughly 49% annual improvement in AI-chip performance per dollar since 2023. Those gains do not imply falling total power: the same literature documents rapidly rising global compute stocks, model training scale, and site power because falling unit cost induces much more usage.</w:t>
      </w:r>
    </w:p>
    <w:p>
      <w:r>
        <w:t>Hardware specifications now force electrical architecture decisions at very small fleet sizes. NVIDIA's DGX B300 has a 15 kW maximum system power for eight Blackwell Ultra GPUs. NVIDIA's GB300 NVL72 enterprise reference architecture specifies up to 142 kW for a single 72-GPU rack. A facility intended to survive the next decade should therefore be liquid-cooling-ready and should not be designed around today's conventional 5-10 kW/rack norms.</w:t>
      </w:r>
    </w:p>
    <w:p>
      <w:pPr>
        <w:pStyle w:val="Heading1"/>
      </w:pPr>
      <w:r>
        <w:t>5. Bottom-up 2027 design</w:t>
      </w:r>
    </w:p>
    <w:p>
      <w:r>
        <w:t>A defensible 2027 base design is approximately 85 kW of usable central IT capacity: Alexandria ~30 kW; Atlas Meridian ~25 kW; Foundry Field central services ~10 kW; shared enterprise/development ~20 kW. This is a design capacity, not continuous average draw. It assumes separate accelerator capacity for Alexandria/Daedalus and Atlas evaluation/inference rather than forcing unrelated trust domains onto one GPU host.</w:t>
      </w:r>
    </w:p>
    <w:p>
      <w:r>
        <w:t>At PUE 1.30, 85 kW of IT corresponds to about 111 kW of facility power at full design load. Adding 30% utility headroom produces roughly 144 kW. The practical procurement target is therefore a 150-200 kW facility/service envelope even though usable IT commitment can begin around 75-100 kW.</w:t>
      </w:r>
    </w:p>
    <w:p>
      <w:pPr>
        <w:pStyle w:val="Heading1"/>
      </w:pPr>
      <w:r>
        <w:t>6. Five-year outlook: 2031</w:t>
      </w:r>
    </w:p>
    <w:p>
      <w:r>
        <w:t>The base 2031 central design load is ~175 kW IT: Alexandria 45 kW, Atlas 70 kW, Foundry central 25 kW, and shared/dev 35 kW. At PUE 1.25 and 30% electrical headroom, the utility/service target is roughly 284 kW. A 300-500 kW modular critical plant is therefore a rational owned-facility phase if actual utilization and product adoption support it.</w:t>
      </w:r>
    </w:p>
    <w:p>
      <w:r>
        <w:t>The efficiency/edge-heavy case is only ~115 kW IT in 2031. The high-growth/centralized case is ~355 kW IT. This range explains why a monolithic greenfield build today would be poor risk management: the uncertainty band is wider than the entire current requirement.</w:t>
      </w:r>
    </w:p>
    <w:p>
      <w:pPr>
        <w:pStyle w:val="Heading1"/>
      </w:pPr>
      <w:r>
        <w:t>7. Ten-year outlook: 2036</w:t>
      </w:r>
    </w:p>
    <w:p>
      <w:r>
        <w:t>The 2036 base case is ~370 kW IT: Alexandria 70 kW, Atlas Meridian 180 kW, Foundry central 60 kW, and shared/dev 60 kW. At PUE 1.20 plus 30% utility headroom, this requires roughly 577 kW of service capacity. A site with a practical 1 MW utility and physical expansion path therefore provides substantial headroom without requiring one megawatt of installed UPS/cooling on day one.</w:t>
      </w:r>
    </w:p>
    <w:p>
      <w:r>
        <w:t>The downside/efficiency case remains around 175 kW IT in 2036 because more client execution moves to the edge and model efficiency improves faster than usage. The high-growth centralized case reaches about 1.2 MW IT and roughly 1.87 MW utility-service target. That case requires Atlas to become a large centrally hosted AI platform and Foundry to centralize far more analytics/inference than its present deployable architecture requires.</w:t>
      </w:r>
    </w:p>
    <w:p>
      <w:pPr>
        <w:pStyle w:val="Heading1"/>
      </w:pPr>
      <w:r>
        <w:t>8. Mining-market scale does not imply hyperscale central hosting</w:t>
      </w:r>
    </w:p>
    <w:p>
      <w:r>
        <w:t>MSHA reported 11,779 metal/nonmetal mines in FY2024. USGS's 2026 facility database identifies more than 800 U.S. mining/mineral-processing facilities across more than 60 commodities. These numbers demonstrate a large addressable market, but they should not be multiplied by a per-site server assumption. Many MSHA sites are small operations; the high-value commercial target is more concentrated, and Foundry Field is architected for deployment under customer authority.</w:t>
      </w:r>
    </w:p>
    <w:p>
      <w:r>
        <w:t>Telemetry architecture is the real scaling lever. If Sable Harbor attempted to centralize raw high-frequency mine telemetry, data volume and network demand would dominate quickly. If sites perform local acquisition/normalization and send selected events, aggregates, provenance records, model outputs, and exceptions upstream, thousands of sites can be supported by a comparatively modest central control plane. The infrastructure policy should therefore prohibit routine central ingestion of raw OT telemetry unless a defined use case and retention plan justify it.</w:t>
      </w:r>
    </w:p>
    <w:p>
      <w:pPr>
        <w:pStyle w:val="Heading1"/>
      </w:pPr>
      <w:r>
        <w:t>9. Recommended physical strategy</w:t>
      </w:r>
    </w:p>
    <w:p>
      <w:pPr>
        <w:pStyle w:val="ListBullet"/>
      </w:pPr>
      <w:r>
        <w:rPr>
          <w:b/>
        </w:rPr>
        <w:t xml:space="preserve">2027-2028: </w:t>
      </w:r>
      <w:r>
        <w:t>Use professional colocation. Contract 75-100 kW usable IT with expansion rights to at least 200-250 kW. Require liquid-ready/high-density capability.</w:t>
      </w:r>
    </w:p>
    <w:p>
      <w:pPr>
        <w:pStyle w:val="ListBullet"/>
      </w:pPr>
      <w:r>
        <w:rPr>
          <w:b/>
        </w:rPr>
        <w:t xml:space="preserve">2027-2029 in parallel: </w:t>
      </w:r>
      <w:r>
        <w:t>Acquire/control the owned-site option: land or industrial building, fiber routes, utility will-serve, permitting, security perimeter, and a design expandable to at least 1 MW utility service.</w:t>
      </w:r>
    </w:p>
    <w:p>
      <w:pPr>
        <w:pStyle w:val="ListBullet"/>
      </w:pPr>
      <w:r>
        <w:rPr>
          <w:b/>
        </w:rPr>
        <w:t xml:space="preserve">2029-2031: </w:t>
      </w:r>
      <w:r>
        <w:t>Commission the owned site only when measured demand supports it. Install ~250-500 kW modular critical infrastructure rather than the full future build.</w:t>
      </w:r>
    </w:p>
    <w:p>
      <w:pPr>
        <w:pStyle w:val="ListBullet"/>
      </w:pPr>
      <w:r>
        <w:rPr>
          <w:b/>
        </w:rPr>
        <w:t xml:space="preserve">2031 onward: </w:t>
      </w:r>
      <w:r>
        <w:t>Move stable crown-jewel/private compute to owned primary; retain colocation as independent DR, burst, migration, and capacity shock absorber.</w:t>
      </w:r>
    </w:p>
    <w:p>
      <w:pPr>
        <w:pStyle w:val="ListBullet"/>
      </w:pPr>
      <w:r>
        <w:rPr>
          <w:b/>
        </w:rPr>
        <w:t xml:space="preserve">Design rule: </w:t>
      </w:r>
      <w:r>
        <w:t>Make the shell, switchgear pathway, cooling distribution, and site layout 1 MW-capable; buy UPS/generator/cooling modules in smaller increments.</w:t>
      </w:r>
    </w:p>
    <w:p>
      <w:pPr>
        <w:pStyle w:val="Heading1"/>
      </w:pPr>
      <w:r>
        <w:t>10. Trigger-based expansion gates</w:t>
      </w:r>
    </w:p>
    <w:p>
      <w:pPr>
        <w:pStyle w:val="ListBullet"/>
      </w:pPr>
      <w:r>
        <w:t>Do not build from forecast alone. Trigger the first owned-site critical plant when sustained colocated IT demand approaches ~100-150 kW and the three-year forward committed pipeline supports ~200-250 kW.</w:t>
      </w:r>
    </w:p>
    <w:p>
      <w:pPr>
        <w:pStyle w:val="ListBullet"/>
      </w:pPr>
      <w:r>
        <w:t>Install the next power/cooling module when 95th-percentile IT load exceeds 60-65% of installed critical capacity for a sustained period or committed deployments will cross that level inside the hardware lead time.</w:t>
      </w:r>
    </w:p>
    <w:p>
      <w:pPr>
        <w:pStyle w:val="ListBullet"/>
      </w:pPr>
      <w:r>
        <w:t>Do not procure NVL72-class infrastructure unless measured workloads need scale-up fabric or the economics beat multiple smaller systems. Reserve the electrical/cooling path anyway.</w:t>
      </w:r>
    </w:p>
    <w:p>
      <w:pPr>
        <w:pStyle w:val="ListBullet"/>
      </w:pPr>
      <w:r>
        <w:t>Treat customer-local Foundry execution as the default for OT-adjacent workloads; central hosting requires an explicit commercial and security decision.</w:t>
      </w:r>
    </w:p>
    <w:p>
      <w:pPr>
        <w:pStyle w:val="ListBullet"/>
      </w:pPr>
      <w:r>
        <w:t>Reforecast quarterly using actual tokens, agent-hours, GPU utilization, data-ingest rates, storage growth, concurrent users, and customer deployment mix.</w:t>
      </w:r>
    </w:p>
    <w:p>
      <w:pPr>
        <w:pStyle w:val="Heading1"/>
      </w:pPr>
      <w:r>
        <w:t>11. Research limitations</w:t>
      </w:r>
    </w:p>
    <w:p>
      <w:r>
        <w:t>No public benchmark can uniquely determine Atlas or Daedalus power because inference throughput varies by model size, quantization, context length, reasoning budget, batching, latency target, accelerator generation, software stack, and workload mix. The forecast therefore uses engineering capacity blocks and scenario ranges rather than false precision. The next confidence step is workload benchmarking on representative models and traces before hardware procurement.</w:t>
      </w:r>
    </w:p>
    <w:p>
      <w:pPr>
        <w:pStyle w:val="Heading1"/>
      </w:pPr>
      <w:r>
        <w:t>Sources</w:t>
      </w:r>
    </w:p>
    <w:p>
      <w:r>
        <w:rPr>
          <w:b/>
        </w:rPr>
        <w:t xml:space="preserve">1. SABLE HARBOR — Atlas Meridian current business dossier. </w:t>
      </w:r>
      <w:r>
        <w:t>https://github.com/SquirmyWormy275/SABLEHARBOR/blob/2b52933132e028bf5d9c9a8c151bb45cb0f19597/docs/business-lines/ATLAS_MERIDIAN.md</w:t>
      </w:r>
    </w:p>
    <w:p>
      <w:r>
        <w:rPr>
          <w:b/>
        </w:rPr>
        <w:t xml:space="preserve">2. SABLE HARBOR — Atlas Meridian Professional Platform and Client System. </w:t>
      </w:r>
      <w:r>
        <w:t>https://github.com/SquirmyWormy275/SABLEHARBOR/blob/2b52933132e028bf5d9c9a8c151bb45cb0f19597/docs/advisory/ATLAS_MERIDIAN_PROFESSIONAL_PLATFORM.md</w:t>
      </w:r>
    </w:p>
    <w:p>
      <w:r>
        <w:rPr>
          <w:b/>
        </w:rPr>
        <w:t xml:space="preserve">3. SABLE HARBOR — Foundry Field current business dossier. </w:t>
      </w:r>
      <w:r>
        <w:t>https://github.com/SquirmyWormy275/SABLEHARBOR/blob/2b52933132e028bf5d9c9a8c151bb45cb0f19597/docs/business-lines/FOUNDRY_FIELD.md</w:t>
      </w:r>
    </w:p>
    <w:p>
      <w:r>
        <w:rPr>
          <w:b/>
        </w:rPr>
        <w:t xml:space="preserve">4. SABLE HARBOR — Foundry and Foundry Field Organization Map. </w:t>
      </w:r>
      <w:r>
        <w:t>https://github.com/SquirmyWormy275/SABLEHARBOR/blob/2b52933132e028bf5d9c9a8c151bb45cb0f19597/docs/organization/FOUNDRY_AND_FOUNDRY_FIELD.md</w:t>
      </w:r>
    </w:p>
    <w:p>
      <w:r>
        <w:rPr>
          <w:b/>
        </w:rPr>
        <w:t xml:space="preserve">5. SABLE HARBOR — Operating Assumptions and Gates. </w:t>
      </w:r>
      <w:r>
        <w:t>https://github.com/SquirmyWormy275/SABLEHARBOR/blob/2b52933132e028bf5d9c9a8c151bb45cb0f19597/enterprise/services/docs/OPERATING_ASSUMPTIONS_AND_GATES.md</w:t>
      </w:r>
    </w:p>
    <w:p>
      <w:r>
        <w:rPr>
          <w:b/>
        </w:rPr>
        <w:t xml:space="preserve">6. IEA — Energy and AI (2025). </w:t>
      </w:r>
      <w:r>
        <w:t>https://www.iea.org/reports/energy-and-ai/energy-demand-from-ai</w:t>
      </w:r>
    </w:p>
    <w:p>
      <w:r>
        <w:rPr>
          <w:b/>
        </w:rPr>
        <w:t xml:space="preserve">7. Lawrence Berkeley National Laboratory — 2024 United States Data Center Energy Usage Report. </w:t>
      </w:r>
      <w:r>
        <w:t>https://energyanalysis.lbl.gov/publications/2024-lbnl-data-center-energy-usage-report</w:t>
      </w:r>
    </w:p>
    <w:p>
      <w:r>
        <w:rPr>
          <w:b/>
        </w:rPr>
        <w:t xml:space="preserve">8. Stanford HAI — 2026 AI Index Report, Research and Development. </w:t>
      </w:r>
      <w:r>
        <w:t>https://hai.stanford.edu/ai-index/2026-ai-index-report/research-and-development</w:t>
      </w:r>
    </w:p>
    <w:p>
      <w:r>
        <w:rPr>
          <w:b/>
        </w:rPr>
        <w:t xml:space="preserve">9. Epoch AI — Trends in Artificial Intelligence, updated 2026. </w:t>
      </w:r>
      <w:r>
        <w:t>https://epoch.ai/trends</w:t>
      </w:r>
    </w:p>
    <w:p>
      <w:r>
        <w:rPr>
          <w:b/>
        </w:rPr>
        <w:t xml:space="preserve">10. MLCommons — MLPerf Inference: Datacenter. </w:t>
      </w:r>
      <w:r>
        <w:t>https://mlcommons.org/benchmarks/inference-datacenter/</w:t>
      </w:r>
    </w:p>
    <w:p>
      <w:r>
        <w:rPr>
          <w:b/>
        </w:rPr>
        <w:t xml:space="preserve">11. NVIDIA — DGX B300 User Guide. </w:t>
      </w:r>
      <w:r>
        <w:t>https://docs.nvidia.com/dgx/dgxb300-user-guide/introduction-to-dgxb300.html</w:t>
      </w:r>
    </w:p>
    <w:p>
      <w:r>
        <w:rPr>
          <w:b/>
        </w:rPr>
        <w:t xml:space="preserve">12. NVIDIA — GB300 NVL72 Enterprise Reference Architecture. </w:t>
      </w:r>
      <w:r>
        <w:t>https://docs.nvidia.com/enterprise-reference-architectures/nvl72-ai-factory/latest/components.html</w:t>
      </w:r>
    </w:p>
    <w:p>
      <w:r>
        <w:rPr>
          <w:b/>
        </w:rPr>
        <w:t xml:space="preserve">13. MSHA — Mine Safety and Health At a Glance FY2024. </w:t>
      </w:r>
      <w:r>
        <w:t>https://www.msha.gov/sites/default/files/Data_Reports/Charts/FY2024-MSHA-ataGlance-1-31-2025.pdf</w:t>
      </w:r>
    </w:p>
    <w:p>
      <w:r>
        <w:rPr>
          <w:b/>
        </w:rPr>
        <w:t xml:space="preserve">14. USGS — Mines, smelters, refineries, and recycling facilities in the United States (2026). </w:t>
      </w:r>
      <w:r>
        <w:t>https://www.usgs.gov/data/mines-smelters-refineries-and-recycling-facilities-united-states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SABLE HARBOR — Compute &amp; Power Reassessment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