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SABLE HARBOR Owned Data Center Feasibility Study</w:t>
      </w:r>
    </w:p>
    <w:p>
      <w:r>
        <w:rPr>
          <w:i/>
        </w:rPr>
        <w:t>Independent feasibility assessment of owner-operated infrastructure versus professional colocation, with western U.S. site comparison and phased economic model.</w:t>
      </w:r>
    </w:p>
    <w:p>
      <w:pPr>
        <w:pStyle w:val="Heading1"/>
      </w:pPr>
      <w:r>
        <w:t>Executive conclusions</w:t>
      </w:r>
    </w:p>
    <w:p>
      <w:r>
        <w:rPr>
          <w:b/>
        </w:rPr>
        <w:t xml:space="preserve">Conclusion. </w:t>
      </w:r>
      <w:r>
        <w:t>SABLE HARBOR can feasibly own and operate its own data-center facility, but the economically rational form depends strongly on scale. At the current Alexandria planning envelope (roughly 25–100 kW of initial IT load), an owned building is usually a sovereignty/control premium rather than a cost-saving measure. At approximately 250 kW and above, a purchased industrial conversion can become economically competitive with secure colocation over a 5–10 year horizon in several western markets.</w:t>
      </w:r>
    </w:p>
    <w:p>
      <w:r>
        <w:rPr>
          <w:b/>
        </w:rPr>
        <w:t xml:space="preserve">Best geography for a first owner-operated facility: </w:t>
      </w:r>
      <w:r>
        <w:t>Northern Nevada remains the strongest institutional choice, particularly the Reno/Sparks/Storey County/Fernley corridor. Boise and Central Washington can beat Reno on pure operating cost, but Reno has the best combination of Sacramento logistics, market depth, labor availability, taxes, power, existing data-center supply chain, and the option to expand into a larger private campus later.</w:t>
      </w:r>
    </w:p>
    <w:p>
      <w:r>
        <w:rPr>
          <w:b/>
        </w:rPr>
        <w:t xml:space="preserve">Best ownership path: </w:t>
      </w:r>
      <w:r>
        <w:t>do not start with a greenfield commercial data center. The most credible owner-operated path is to acquire or lease a small industrial/flex building with suitable utility service, convert it into a hardened private computing facility, and use modular power/cooling infrastructure so capacity can expand from 25/50 kW to 100/250 kW without rebuilding the entire site. A prefabricated module such as Vertiv SmartMod demonstrates that 2–14 rack, ≤100 kW integrated facilities are commercially standard products rather than a bespoke engineering fantasy.</w:t>
      </w:r>
    </w:p>
    <w:p>
      <w:r>
        <w:rPr>
          <w:b/>
        </w:rPr>
        <w:t xml:space="preserve">CCF effect. </w:t>
      </w:r>
      <w:r>
        <w:t>Full ownership eliminates colocation-provider inheritance for the facility layer but replaces it with additional SABLE HARBOR controls for utility resilience, generator/UPS maintenance, fire suppression, cooling, building access, physical security, environmental monitoring, carrier diversity, maintenance vendors, spares, testing, and facilities staffing. It simplifies third-party dependency governance while expanding direct control scope.</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11827"/>
          </w:tcPr>
          <w:p>
            <w:r/>
            <w:r>
              <w:rPr>
                <w:rFonts w:ascii="Aptos" w:hAnsi="Aptos"/>
                <w:b/>
                <w:color w:val="FFFFFF"/>
                <w:sz w:val="16"/>
              </w:rPr>
              <w:t>Question</w:t>
            </w:r>
          </w:p>
        </w:tc>
        <w:tc>
          <w:tcPr>
            <w:tcW w:type="dxa" w:w="6912"/>
            <w:vAlign w:val="center"/>
            <w:shd w:fill="111827"/>
          </w:tcPr>
          <w:p>
            <w:r/>
            <w:r>
              <w:rPr>
                <w:rFonts w:ascii="Aptos" w:hAnsi="Aptos"/>
                <w:b/>
                <w:color w:val="FFFFFF"/>
                <w:sz w:val="16"/>
              </w:rPr>
              <w:t>Finding</w:t>
            </w:r>
          </w:p>
        </w:tc>
      </w:tr>
      <w:tr>
        <w:tc>
          <w:tcPr>
            <w:tcW w:type="dxa" w:w="2880"/>
            <w:vAlign w:val="center"/>
          </w:tcPr>
          <w:p>
            <w:r/>
            <w:r>
              <w:rPr>
                <w:rFonts w:ascii="Aptos" w:hAnsi="Aptos"/>
                <w:b w:val="0"/>
                <w:sz w:val="16"/>
              </w:rPr>
              <w:t>Can SABLE HARBOR build/own this itself?</w:t>
            </w:r>
          </w:p>
        </w:tc>
        <w:tc>
          <w:tcPr>
            <w:tcW w:type="dxa" w:w="6912"/>
            <w:vAlign w:val="center"/>
          </w:tcPr>
          <w:p>
            <w:r/>
            <w:r>
              <w:rPr>
                <w:rFonts w:ascii="Aptos" w:hAnsi="Aptos"/>
                <w:b w:val="0"/>
                <w:sz w:val="16"/>
              </w:rPr>
              <w:t>Yes. A small hardened facility is technically feasible at the proposed scale.</w:t>
            </w:r>
          </w:p>
        </w:tc>
      </w:tr>
      <w:tr>
        <w:tc>
          <w:tcPr>
            <w:tcW w:type="dxa" w:w="2880"/>
            <w:vAlign w:val="center"/>
            <w:shd w:fill="F3F4F6"/>
          </w:tcPr>
          <w:p>
            <w:r/>
            <w:r>
              <w:rPr>
                <w:rFonts w:ascii="Aptos" w:hAnsi="Aptos"/>
                <w:b w:val="0"/>
                <w:sz w:val="16"/>
              </w:rPr>
              <w:t>Is greenfield construction best now?</w:t>
            </w:r>
          </w:p>
        </w:tc>
        <w:tc>
          <w:tcPr>
            <w:tcW w:type="dxa" w:w="6912"/>
            <w:vAlign w:val="center"/>
            <w:shd w:fill="F3F4F6"/>
          </w:tcPr>
          <w:p>
            <w:r/>
            <w:r>
              <w:rPr>
                <w:rFonts w:ascii="Aptos" w:hAnsi="Aptos"/>
                <w:b w:val="0"/>
                <w:sz w:val="16"/>
              </w:rPr>
              <w:t>No. Existing-building conversion or modular deployment is materially more efficient at 25–100 kW.</w:t>
            </w:r>
          </w:p>
        </w:tc>
      </w:tr>
      <w:tr>
        <w:tc>
          <w:tcPr>
            <w:tcW w:type="dxa" w:w="2880"/>
            <w:vAlign w:val="center"/>
          </w:tcPr>
          <w:p>
            <w:r/>
            <w:r>
              <w:rPr>
                <w:rFonts w:ascii="Aptos" w:hAnsi="Aptos"/>
                <w:b w:val="0"/>
                <w:sz w:val="16"/>
              </w:rPr>
              <w:t>Where?</w:t>
            </w:r>
          </w:p>
        </w:tc>
        <w:tc>
          <w:tcPr>
            <w:tcW w:type="dxa" w:w="6912"/>
            <w:vAlign w:val="center"/>
          </w:tcPr>
          <w:p>
            <w:r/>
            <w:r>
              <w:rPr>
                <w:rFonts w:ascii="Aptos" w:hAnsi="Aptos"/>
                <w:b w:val="0"/>
                <w:sz w:val="16"/>
              </w:rPr>
              <w:t>Northern Nevada is the best strategic primary region; Boise is the lowest-cost serious alternative; Central Washington is the pure power-cost wildcard.</w:t>
            </w:r>
          </w:p>
        </w:tc>
      </w:tr>
      <w:tr>
        <w:tc>
          <w:tcPr>
            <w:tcW w:type="dxa" w:w="2880"/>
            <w:vAlign w:val="center"/>
            <w:shd w:fill="F3F4F6"/>
          </w:tcPr>
          <w:p>
            <w:r/>
            <w:r>
              <w:rPr>
                <w:rFonts w:ascii="Aptos" w:hAnsi="Aptos"/>
                <w:b w:val="0"/>
                <w:sz w:val="16"/>
              </w:rPr>
              <w:t>When does ownership become cheaper?</w:t>
            </w:r>
          </w:p>
        </w:tc>
        <w:tc>
          <w:tcPr>
            <w:tcW w:type="dxa" w:w="6912"/>
            <w:vAlign w:val="center"/>
            <w:shd w:fill="F3F4F6"/>
          </w:tcPr>
          <w:p>
            <w:r/>
            <w:r>
              <w:rPr>
                <w:rFonts w:ascii="Aptos" w:hAnsi="Aptos"/>
                <w:b w:val="0"/>
                <w:sz w:val="16"/>
              </w:rPr>
              <w:t>Base case: usually not at 25–100 kW; approximately 5–8 years around 250 kW in Reno/Boise/SLC/Las Vegas, depending on actual colo quote.</w:t>
            </w:r>
          </w:p>
        </w:tc>
      </w:tr>
      <w:tr>
        <w:tc>
          <w:tcPr>
            <w:tcW w:type="dxa" w:w="2880"/>
            <w:vAlign w:val="center"/>
          </w:tcPr>
          <w:p>
            <w:r/>
            <w:r>
              <w:rPr>
                <w:rFonts w:ascii="Aptos" w:hAnsi="Aptos"/>
                <w:b w:val="0"/>
                <w:sz w:val="16"/>
              </w:rPr>
              <w:t>What remains unproven?</w:t>
            </w:r>
          </w:p>
        </w:tc>
        <w:tc>
          <w:tcPr>
            <w:tcW w:type="dxa" w:w="6912"/>
            <w:vAlign w:val="center"/>
          </w:tcPr>
          <w:p>
            <w:r/>
            <w:r>
              <w:rPr>
                <w:rFonts w:ascii="Aptos" w:hAnsi="Aptos"/>
                <w:b w:val="0"/>
                <w:sz w:val="16"/>
              </w:rPr>
              <w:t>Actual parcel/building availability, utility service capacity and upgrade cost, fiber routes, insurance quote, local permitting, detailed engineering, and vendor bids.</w:t>
            </w:r>
          </w:p>
        </w:tc>
      </w:tr>
    </w:tbl>
    <w:p>
      <w:pPr>
        <w:spacing w:after="20"/>
      </w:pPr>
    </w:p>
    <w:p>
      <w:pPr>
        <w:pStyle w:val="Heading1"/>
      </w:pPr>
      <w:r>
        <w:t>Repository basis and design constraints</w:t>
      </w:r>
    </w:p>
    <w:p>
      <w:r>
        <w:t>The repository remains the architecture baseline. Its current service model explicitly treats capacity, staffing, recovery targets and prices as synthetic planning assumptions rather than approved budgets or operating evidence. It identifies owned equipment in professional colocation as the lowest modeled five-year technology-scope case (~$51.8 million) and a future owned primary plant as a higher-cost comparator (~$64.1 million), while stating that construction feasibility, utility delivery and schedule were not established.¹</w:t>
      </w:r>
    </w:p>
    <w:p>
      <w:r>
        <w:t>The restricted/Alexandria workload envelope is proposed at 128 vCPU, 1,024 GiB RAM, 100 TiB durable storage and eight planning-class 80-GiB GPU units, with an 8-hour recovery / 1-hour data-loss objective. The same document states that sharing a physical facility does not merge access or authority, and that dedicated cage/suite selection remains open.²</w:t>
      </w:r>
    </w:p>
    <w:p>
      <w:pPr>
        <w:ind w:left="288" w:right="288"/>
      </w:pPr>
      <w:r>
        <w:rPr>
          <w:i/>
          <w:color w:val="4B5563"/>
          <w:sz w:val="17"/>
        </w:rPr>
        <w:t>This study does not overwrite those repository assumptions. It expands the previously missing location-specific owner-operated facility analysis.</w:t>
      </w:r>
    </w:p>
    <w:p>
      <w:pPr>
        <w:pStyle w:val="Heading1"/>
      </w:pPr>
      <w:r>
        <w:t>Ownership configurations evaluated</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111827"/>
          </w:tcPr>
          <w:p>
            <w:r/>
            <w:r>
              <w:rPr>
                <w:rFonts w:ascii="Aptos" w:hAnsi="Aptos"/>
                <w:b/>
                <w:color w:val="FFFFFF"/>
                <w:sz w:val="16"/>
              </w:rPr>
              <w:t>Configuration</w:t>
            </w:r>
          </w:p>
        </w:tc>
        <w:tc>
          <w:tcPr>
            <w:tcW w:type="dxa" w:w="5040"/>
            <w:vAlign w:val="center"/>
            <w:shd w:fill="111827"/>
          </w:tcPr>
          <w:p>
            <w:r/>
            <w:r>
              <w:rPr>
                <w:rFonts w:ascii="Aptos" w:hAnsi="Aptos"/>
                <w:b/>
                <w:color w:val="FFFFFF"/>
                <w:sz w:val="16"/>
              </w:rPr>
              <w:t>Description</w:t>
            </w:r>
          </w:p>
        </w:tc>
        <w:tc>
          <w:tcPr>
            <w:tcW w:type="dxa" w:w="2664"/>
            <w:vAlign w:val="center"/>
            <w:shd w:fill="111827"/>
          </w:tcPr>
          <w:p>
            <w:r/>
            <w:r>
              <w:rPr>
                <w:rFonts w:ascii="Aptos" w:hAnsi="Aptos"/>
                <w:b/>
                <w:color w:val="FFFFFF"/>
                <w:sz w:val="16"/>
              </w:rPr>
              <w:t>Initial fit</w:t>
            </w:r>
          </w:p>
        </w:tc>
      </w:tr>
      <w:tr>
        <w:tc>
          <w:tcPr>
            <w:tcW w:type="dxa" w:w="2088"/>
            <w:vAlign w:val="center"/>
          </w:tcPr>
          <w:p>
            <w:r/>
            <w:r>
              <w:rPr>
                <w:rFonts w:ascii="Aptos" w:hAnsi="Aptos"/>
                <w:b w:val="0"/>
                <w:sz w:val="16"/>
              </w:rPr>
              <w:t>Professional colocation</w:t>
            </w:r>
          </w:p>
        </w:tc>
        <w:tc>
          <w:tcPr>
            <w:tcW w:type="dxa" w:w="5040"/>
            <w:vAlign w:val="center"/>
          </w:tcPr>
          <w:p>
            <w:r/>
            <w:r>
              <w:rPr>
                <w:rFonts w:ascii="Aptos" w:hAnsi="Aptos"/>
                <w:b w:val="0"/>
                <w:sz w:val="16"/>
              </w:rPr>
              <w:t>SABLE HARBOR owns compute/network/key hardware; provider owns building, power/cooling plant and base physical facility.</w:t>
            </w:r>
          </w:p>
        </w:tc>
        <w:tc>
          <w:tcPr>
            <w:tcW w:type="dxa" w:w="2664"/>
            <w:vAlign w:val="center"/>
          </w:tcPr>
          <w:p>
            <w:r/>
            <w:r>
              <w:rPr>
                <w:rFonts w:ascii="Aptos" w:hAnsi="Aptos"/>
                <w:b w:val="0"/>
                <w:sz w:val="16"/>
              </w:rPr>
              <w:t>Best current economic benchmark.</w:t>
            </w:r>
          </w:p>
        </w:tc>
      </w:tr>
      <w:tr>
        <w:tc>
          <w:tcPr>
            <w:tcW w:type="dxa" w:w="2088"/>
            <w:vAlign w:val="center"/>
            <w:shd w:fill="F3F4F6"/>
          </w:tcPr>
          <w:p>
            <w:r/>
            <w:r>
              <w:rPr>
                <w:rFonts w:ascii="Aptos" w:hAnsi="Aptos"/>
                <w:b w:val="0"/>
                <w:sz w:val="16"/>
              </w:rPr>
              <w:t>Leased industrial conversion</w:t>
            </w:r>
          </w:p>
        </w:tc>
        <w:tc>
          <w:tcPr>
            <w:tcW w:type="dxa" w:w="5040"/>
            <w:vAlign w:val="center"/>
            <w:shd w:fill="F3F4F6"/>
          </w:tcPr>
          <w:p>
            <w:r/>
            <w:r>
              <w:rPr>
                <w:rFonts w:ascii="Aptos" w:hAnsi="Aptos"/>
                <w:b w:val="0"/>
                <w:sz w:val="16"/>
              </w:rPr>
              <w:t>Lease 4,000–9,000 SF industrial/flex shell; SABLE HARBOR installs critical power, cooling, fire/security and carrier plant.</w:t>
            </w:r>
          </w:p>
        </w:tc>
        <w:tc>
          <w:tcPr>
            <w:tcW w:type="dxa" w:w="2664"/>
            <w:vAlign w:val="center"/>
            <w:shd w:fill="F3F4F6"/>
          </w:tcPr>
          <w:p>
            <w:r/>
            <w:r>
              <w:rPr>
                <w:rFonts w:ascii="Aptos" w:hAnsi="Aptos"/>
                <w:b w:val="0"/>
                <w:sz w:val="16"/>
              </w:rPr>
              <w:t>Lowest-capital owner-operated path, but landlord/title risk remains.</w:t>
            </w:r>
          </w:p>
        </w:tc>
      </w:tr>
      <w:tr>
        <w:tc>
          <w:tcPr>
            <w:tcW w:type="dxa" w:w="2088"/>
            <w:vAlign w:val="center"/>
          </w:tcPr>
          <w:p>
            <w:r/>
            <w:r>
              <w:rPr>
                <w:rFonts w:ascii="Aptos" w:hAnsi="Aptos"/>
                <w:b w:val="0"/>
                <w:sz w:val="16"/>
              </w:rPr>
              <w:t>Purchased industrial conversion</w:t>
            </w:r>
          </w:p>
        </w:tc>
        <w:tc>
          <w:tcPr>
            <w:tcW w:type="dxa" w:w="5040"/>
            <w:vAlign w:val="center"/>
          </w:tcPr>
          <w:p>
            <w:r/>
            <w:r>
              <w:rPr>
                <w:rFonts w:ascii="Aptos" w:hAnsi="Aptos"/>
                <w:b w:val="0"/>
                <w:sz w:val="16"/>
              </w:rPr>
              <w:t>Buy small industrial/flex building; retrofit as private data center.</w:t>
            </w:r>
          </w:p>
        </w:tc>
        <w:tc>
          <w:tcPr>
            <w:tcW w:type="dxa" w:w="2664"/>
            <w:vAlign w:val="center"/>
          </w:tcPr>
          <w:p>
            <w:r/>
            <w:r>
              <w:rPr>
                <w:rFonts w:ascii="Aptos" w:hAnsi="Aptos"/>
                <w:b w:val="0"/>
                <w:sz w:val="16"/>
              </w:rPr>
              <w:t>Best long-run owner-operated strategy at sub-MW scale.</w:t>
            </w:r>
          </w:p>
        </w:tc>
      </w:tr>
      <w:tr>
        <w:tc>
          <w:tcPr>
            <w:tcW w:type="dxa" w:w="2088"/>
            <w:vAlign w:val="center"/>
            <w:shd w:fill="F3F4F6"/>
          </w:tcPr>
          <w:p>
            <w:r/>
            <w:r>
              <w:rPr>
                <w:rFonts w:ascii="Aptos" w:hAnsi="Aptos"/>
                <w:b w:val="0"/>
                <w:sz w:val="16"/>
              </w:rPr>
              <w:t>Prefabricated modular facility</w:t>
            </w:r>
          </w:p>
        </w:tc>
        <w:tc>
          <w:tcPr>
            <w:tcW w:type="dxa" w:w="5040"/>
            <w:vAlign w:val="center"/>
            <w:shd w:fill="F3F4F6"/>
          </w:tcPr>
          <w:p>
            <w:r/>
            <w:r>
              <w:rPr>
                <w:rFonts w:ascii="Aptos" w:hAnsi="Aptos"/>
                <w:b w:val="0"/>
                <w:sz w:val="16"/>
              </w:rPr>
              <w:t>Place factory-integrated 25–200 kW module in/on owned or leased industrial property.</w:t>
            </w:r>
          </w:p>
        </w:tc>
        <w:tc>
          <w:tcPr>
            <w:tcW w:type="dxa" w:w="2664"/>
            <w:vAlign w:val="center"/>
            <w:shd w:fill="F3F4F6"/>
          </w:tcPr>
          <w:p>
            <w:r/>
            <w:r>
              <w:rPr>
                <w:rFonts w:ascii="Aptos" w:hAnsi="Aptos"/>
                <w:b w:val="0"/>
                <w:sz w:val="16"/>
              </w:rPr>
              <w:t>Strong fit for staged Alexandria build; faster and more predictable.</w:t>
            </w:r>
          </w:p>
        </w:tc>
      </w:tr>
      <w:tr>
        <w:tc>
          <w:tcPr>
            <w:tcW w:type="dxa" w:w="2088"/>
            <w:vAlign w:val="center"/>
          </w:tcPr>
          <w:p>
            <w:r/>
            <w:r>
              <w:rPr>
                <w:rFonts w:ascii="Aptos" w:hAnsi="Aptos"/>
                <w:b w:val="0"/>
                <w:sz w:val="16"/>
              </w:rPr>
              <w:t>Ground-up purpose-built</w:t>
            </w:r>
          </w:p>
        </w:tc>
        <w:tc>
          <w:tcPr>
            <w:tcW w:type="dxa" w:w="5040"/>
            <w:vAlign w:val="center"/>
          </w:tcPr>
          <w:p>
            <w:r/>
            <w:r>
              <w:rPr>
                <w:rFonts w:ascii="Aptos" w:hAnsi="Aptos"/>
                <w:b w:val="0"/>
                <w:sz w:val="16"/>
              </w:rPr>
              <w:t>Acquire land and construct dedicated shell plus data-center plant.</w:t>
            </w:r>
          </w:p>
        </w:tc>
        <w:tc>
          <w:tcPr>
            <w:tcW w:type="dxa" w:w="2664"/>
            <w:vAlign w:val="center"/>
          </w:tcPr>
          <w:p>
            <w:r/>
            <w:r>
              <w:rPr>
                <w:rFonts w:ascii="Aptos" w:hAnsi="Aptos"/>
                <w:b w:val="0"/>
                <w:sz w:val="16"/>
              </w:rPr>
              <w:t>Premature below several hundred kW unless strategic/security value dominates cost.</w:t>
            </w:r>
          </w:p>
        </w:tc>
      </w:tr>
    </w:tbl>
    <w:p>
      <w:pPr>
        <w:spacing w:after="20"/>
      </w:pPr>
    </w:p>
    <w:p>
      <w:pPr>
        <w:pStyle w:val="Heading1"/>
      </w:pPr>
      <w:r>
        <w:t>Engineering scale and facility concept</w:t>
      </w:r>
    </w:p>
    <w:p>
      <w:r>
        <w:t>The central insight is scale. The Alexandria requirement is not a hyperscale project. Vertiv markets SmartMod integrated modular facilities for 2–14 racks and up to 100 kW; its larger SmartMod family extends to 200 kW.³ Schneider Electric similarly markets prefabricated modules as a faster, predictable, scalable alternative to conventional stick-built deployment.⁴ This makes a SABLE HARBOR-owned micro/edge-class facility technically ordinary even though its institutional role is unusually sensitive.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111827"/>
          </w:tcPr>
          <w:p>
            <w:r/>
            <w:r>
              <w:rPr>
                <w:rFonts w:ascii="Aptos" w:hAnsi="Aptos"/>
                <w:b/>
                <w:color w:val="FFFFFF"/>
                <w:sz w:val="16"/>
              </w:rPr>
              <w:t>Phase</w:t>
            </w:r>
          </w:p>
        </w:tc>
        <w:tc>
          <w:tcPr>
            <w:tcW w:type="dxa" w:w="1440"/>
            <w:vAlign w:val="center"/>
            <w:shd w:fill="111827"/>
          </w:tcPr>
          <w:p>
            <w:r/>
            <w:r>
              <w:rPr>
                <w:rFonts w:ascii="Aptos" w:hAnsi="Aptos"/>
                <w:b/>
                <w:color w:val="FFFFFF"/>
                <w:sz w:val="16"/>
              </w:rPr>
              <w:t>IT capacity</w:t>
            </w:r>
          </w:p>
        </w:tc>
        <w:tc>
          <w:tcPr>
            <w:tcW w:type="dxa" w:w="1728"/>
            <w:vAlign w:val="center"/>
            <w:shd w:fill="111827"/>
          </w:tcPr>
          <w:p>
            <w:r/>
            <w:r>
              <w:rPr>
                <w:rFonts w:ascii="Aptos" w:hAnsi="Aptos"/>
                <w:b/>
                <w:color w:val="FFFFFF"/>
                <w:sz w:val="16"/>
              </w:rPr>
              <w:t>Indicative building</w:t>
            </w:r>
          </w:p>
        </w:tc>
        <w:tc>
          <w:tcPr>
            <w:tcW w:type="dxa" w:w="5760"/>
            <w:vAlign w:val="center"/>
            <w:shd w:fill="111827"/>
          </w:tcPr>
          <w:p>
            <w:r/>
            <w:r>
              <w:rPr>
                <w:rFonts w:ascii="Aptos" w:hAnsi="Aptos"/>
                <w:b/>
                <w:color w:val="FFFFFF"/>
                <w:sz w:val="16"/>
              </w:rPr>
              <w:t>Operational purpose</w:t>
            </w:r>
          </w:p>
        </w:tc>
      </w:tr>
      <w:tr>
        <w:tc>
          <w:tcPr>
            <w:tcW w:type="dxa" w:w="1152"/>
            <w:vAlign w:val="center"/>
          </w:tcPr>
          <w:p>
            <w:r/>
            <w:r>
              <w:rPr>
                <w:rFonts w:ascii="Aptos" w:hAnsi="Aptos"/>
                <w:b w:val="0"/>
                <w:sz w:val="16"/>
              </w:rPr>
              <w:t>A</w:t>
            </w:r>
          </w:p>
        </w:tc>
        <w:tc>
          <w:tcPr>
            <w:tcW w:type="dxa" w:w="1440"/>
            <w:vAlign w:val="center"/>
          </w:tcPr>
          <w:p>
            <w:r/>
            <w:r>
              <w:rPr>
                <w:rFonts w:ascii="Aptos" w:hAnsi="Aptos"/>
                <w:b w:val="0"/>
                <w:sz w:val="16"/>
              </w:rPr>
              <w:t>25 kW</w:t>
            </w:r>
          </w:p>
        </w:tc>
        <w:tc>
          <w:tcPr>
            <w:tcW w:type="dxa" w:w="1728"/>
            <w:vAlign w:val="center"/>
          </w:tcPr>
          <w:p>
            <w:r/>
            <w:r>
              <w:rPr>
                <w:rFonts w:ascii="Aptos" w:hAnsi="Aptos"/>
                <w:b w:val="0"/>
                <w:sz w:val="16"/>
              </w:rPr>
              <w:t>~4,000 SF</w:t>
            </w:r>
          </w:p>
        </w:tc>
        <w:tc>
          <w:tcPr>
            <w:tcW w:type="dxa" w:w="5760"/>
            <w:vAlign w:val="center"/>
          </w:tcPr>
          <w:p>
            <w:r/>
            <w:r>
              <w:rPr>
                <w:rFonts w:ascii="Aptos" w:hAnsi="Aptos"/>
                <w:b w:val="0"/>
                <w:sz w:val="16"/>
              </w:rPr>
              <w:t>Initial Alexandria authoritative services, storage, HSM/network and modest private inference.</w:t>
            </w:r>
          </w:p>
        </w:tc>
      </w:tr>
      <w:tr>
        <w:tc>
          <w:tcPr>
            <w:tcW w:type="dxa" w:w="1152"/>
            <w:vAlign w:val="center"/>
            <w:shd w:fill="F3F4F6"/>
          </w:tcPr>
          <w:p>
            <w:r/>
            <w:r>
              <w:rPr>
                <w:rFonts w:ascii="Aptos" w:hAnsi="Aptos"/>
                <w:b w:val="0"/>
                <w:sz w:val="16"/>
              </w:rPr>
              <w:t>B</w:t>
            </w:r>
          </w:p>
        </w:tc>
        <w:tc>
          <w:tcPr>
            <w:tcW w:type="dxa" w:w="1440"/>
            <w:vAlign w:val="center"/>
            <w:shd w:fill="F3F4F6"/>
          </w:tcPr>
          <w:p>
            <w:r/>
            <w:r>
              <w:rPr>
                <w:rFonts w:ascii="Aptos" w:hAnsi="Aptos"/>
                <w:b w:val="0"/>
                <w:sz w:val="16"/>
              </w:rPr>
              <w:t>50 kW</w:t>
            </w:r>
          </w:p>
        </w:tc>
        <w:tc>
          <w:tcPr>
            <w:tcW w:type="dxa" w:w="1728"/>
            <w:vAlign w:val="center"/>
            <w:shd w:fill="F3F4F6"/>
          </w:tcPr>
          <w:p>
            <w:r/>
            <w:r>
              <w:rPr>
                <w:rFonts w:ascii="Aptos" w:hAnsi="Aptos"/>
                <w:b w:val="0"/>
                <w:sz w:val="16"/>
              </w:rPr>
              <w:t>~5,000 SF</w:t>
            </w:r>
          </w:p>
        </w:tc>
        <w:tc>
          <w:tcPr>
            <w:tcW w:type="dxa" w:w="5760"/>
            <w:vAlign w:val="center"/>
            <w:shd w:fill="F3F4F6"/>
          </w:tcPr>
          <w:p>
            <w:r/>
            <w:r>
              <w:rPr>
                <w:rFonts w:ascii="Aptos" w:hAnsi="Aptos"/>
                <w:b w:val="0"/>
                <w:sz w:val="16"/>
              </w:rPr>
              <w:t>Redundancy growth, increased Daedalus inference and storage expansion.</w:t>
            </w:r>
          </w:p>
        </w:tc>
      </w:tr>
      <w:tr>
        <w:tc>
          <w:tcPr>
            <w:tcW w:type="dxa" w:w="1152"/>
            <w:vAlign w:val="center"/>
          </w:tcPr>
          <w:p>
            <w:r/>
            <w:r>
              <w:rPr>
                <w:rFonts w:ascii="Aptos" w:hAnsi="Aptos"/>
                <w:b w:val="0"/>
                <w:sz w:val="16"/>
              </w:rPr>
              <w:t>C</w:t>
            </w:r>
          </w:p>
        </w:tc>
        <w:tc>
          <w:tcPr>
            <w:tcW w:type="dxa" w:w="1440"/>
            <w:vAlign w:val="center"/>
          </w:tcPr>
          <w:p>
            <w:r/>
            <w:r>
              <w:rPr>
                <w:rFonts w:ascii="Aptos" w:hAnsi="Aptos"/>
                <w:b w:val="0"/>
                <w:sz w:val="16"/>
              </w:rPr>
              <w:t>100 kW</w:t>
            </w:r>
          </w:p>
        </w:tc>
        <w:tc>
          <w:tcPr>
            <w:tcW w:type="dxa" w:w="1728"/>
            <w:vAlign w:val="center"/>
          </w:tcPr>
          <w:p>
            <w:r/>
            <w:r>
              <w:rPr>
                <w:rFonts w:ascii="Aptos" w:hAnsi="Aptos"/>
                <w:b w:val="0"/>
                <w:sz w:val="16"/>
              </w:rPr>
              <w:t>~6,000 SF</w:t>
            </w:r>
          </w:p>
        </w:tc>
        <w:tc>
          <w:tcPr>
            <w:tcW w:type="dxa" w:w="5760"/>
            <w:vAlign w:val="center"/>
          </w:tcPr>
          <w:p>
            <w:r/>
            <w:r>
              <w:rPr>
                <w:rFonts w:ascii="Aptos" w:hAnsi="Aptos"/>
                <w:b w:val="0"/>
                <w:sz w:val="16"/>
              </w:rPr>
              <w:t>Mature restricted estate plus selected enterprise private compute.</w:t>
            </w:r>
          </w:p>
        </w:tc>
      </w:tr>
      <w:tr>
        <w:tc>
          <w:tcPr>
            <w:tcW w:type="dxa" w:w="1152"/>
            <w:vAlign w:val="center"/>
            <w:shd w:fill="F3F4F6"/>
          </w:tcPr>
          <w:p>
            <w:r/>
            <w:r>
              <w:rPr>
                <w:rFonts w:ascii="Aptos" w:hAnsi="Aptos"/>
                <w:b w:val="0"/>
                <w:sz w:val="16"/>
              </w:rPr>
              <w:t>D</w:t>
            </w:r>
          </w:p>
        </w:tc>
        <w:tc>
          <w:tcPr>
            <w:tcW w:type="dxa" w:w="1440"/>
            <w:vAlign w:val="center"/>
            <w:shd w:fill="F3F4F6"/>
          </w:tcPr>
          <w:p>
            <w:r/>
            <w:r>
              <w:rPr>
                <w:rFonts w:ascii="Aptos" w:hAnsi="Aptos"/>
                <w:b w:val="0"/>
                <w:sz w:val="16"/>
              </w:rPr>
              <w:t>250 kW</w:t>
            </w:r>
          </w:p>
        </w:tc>
        <w:tc>
          <w:tcPr>
            <w:tcW w:type="dxa" w:w="1728"/>
            <w:vAlign w:val="center"/>
            <w:shd w:fill="F3F4F6"/>
          </w:tcPr>
          <w:p>
            <w:r/>
            <w:r>
              <w:rPr>
                <w:rFonts w:ascii="Aptos" w:hAnsi="Aptos"/>
                <w:b w:val="0"/>
                <w:sz w:val="16"/>
              </w:rPr>
              <w:t>~9,000 SF</w:t>
            </w:r>
          </w:p>
        </w:tc>
        <w:tc>
          <w:tcPr>
            <w:tcW w:type="dxa" w:w="5760"/>
            <w:vAlign w:val="center"/>
            <w:shd w:fill="F3F4F6"/>
          </w:tcPr>
          <w:p>
            <w:r/>
            <w:r>
              <w:rPr>
                <w:rFonts w:ascii="Aptos" w:hAnsi="Aptos"/>
                <w:b w:val="0"/>
                <w:sz w:val="16"/>
              </w:rPr>
              <w:t>Meaningful enterprise consolidation; ownership economics begin to outperform colo in base case.</w:t>
            </w:r>
          </w:p>
        </w:tc>
      </w:tr>
    </w:tbl>
    <w:p>
      <w:pPr>
        <w:spacing w:after="20"/>
      </w:pPr>
    </w:p>
    <w:p>
      <w:r>
        <w:t>Recommended physical design for Phases A–C: dual utility/transfer architecture where available, N+1 UPS modules, N+1 cooling, generator-backed standby power, dual A/B rack feeds, two carrier entrances with route diversity, customer-controlled HSM/root recovery, clean-agent or code-compliant pre-action fire protection, water/leak/environment monitoring, mantrap/badge/video controls, secure receiving/media handling, and physical space reserved for a second power/cooling module. The exact topology requires professional electrical/mechanical/fire engineering.</w:t>
      </w:r>
    </w:p>
    <w:p>
      <w:pPr>
        <w:pStyle w:val="Heading1"/>
      </w:pPr>
      <w:r>
        <w:t>Construction cost reality</w:t>
      </w:r>
    </w:p>
    <w:p>
      <w:r>
        <w:t>Turner &amp; Townsend’s 2025–2026 data-center index reports traditional construction costs ranging roughly from $9.5–$13.3 per watt across major U.S. markets, with Phoenix around $9.8/W and Silicon Valley around $13.3/W; liquid-cooled AI capacity carries a reported 7–10% premium.⁵ Those are large-market benchmarks and are not directly scalable to a 25–100 kW private site because small projects have much larger fixed-cost components for design, switchgear, UPS, generator, fire, security and commissioning.</w:t>
      </w:r>
    </w:p>
    <w:p>
      <w:r>
        <w:t>Accordingly, the financial model uses a conservative small-site conversion envelope rather than mechanically multiplying $/W: approximately $1.1M at 25 kW, $1.35M at 50 kW, $1.8M at 100 kW and $3.0M at 250 kW before building purchase, adjusted by local construction-cost factors. These are analytical allowances, not contractor bids. The model intentionally places the real diligence burden on utility and MEP quotes rather than presenting false precision.</w:t>
      </w:r>
    </w:p>
    <w:p>
      <w:pPr>
        <w:pStyle w:val="Heading1"/>
      </w:pPr>
      <w:r>
        <w:t>Regional owner-operated feasibility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728"/>
            <w:vAlign w:val="center"/>
            <w:shd w:fill="111827"/>
          </w:tcPr>
          <w:p>
            <w:r/>
            <w:r>
              <w:rPr>
                <w:rFonts w:ascii="Aptos" w:hAnsi="Aptos"/>
                <w:b/>
                <w:color w:val="FFFFFF"/>
                <w:sz w:val="16"/>
              </w:rPr>
              <w:t>Region</w:t>
            </w:r>
          </w:p>
        </w:tc>
        <w:tc>
          <w:tcPr>
            <w:tcW w:type="dxa" w:w="2088"/>
            <w:vAlign w:val="center"/>
            <w:shd w:fill="111827"/>
          </w:tcPr>
          <w:p>
            <w:r/>
            <w:r>
              <w:rPr>
                <w:rFonts w:ascii="Aptos" w:hAnsi="Aptos"/>
                <w:b/>
                <w:color w:val="FFFFFF"/>
                <w:sz w:val="16"/>
              </w:rPr>
              <w:t>Industrial market</w:t>
            </w:r>
          </w:p>
        </w:tc>
        <w:tc>
          <w:tcPr>
            <w:tcW w:type="dxa" w:w="2664"/>
            <w:vAlign w:val="center"/>
            <w:shd w:fill="111827"/>
          </w:tcPr>
          <w:p>
            <w:r/>
            <w:r>
              <w:rPr>
                <w:rFonts w:ascii="Aptos" w:hAnsi="Aptos"/>
                <w:b/>
                <w:color w:val="FFFFFF"/>
                <w:sz w:val="16"/>
              </w:rPr>
              <w:t>Power / labor</w:t>
            </w:r>
          </w:p>
        </w:tc>
        <w:tc>
          <w:tcPr>
            <w:tcW w:type="dxa" w:w="2592"/>
            <w:vAlign w:val="center"/>
            <w:shd w:fill="111827"/>
          </w:tcPr>
          <w:p>
            <w:r/>
            <w:r>
              <w:rPr>
                <w:rFonts w:ascii="Aptos" w:hAnsi="Aptos"/>
                <w:b/>
                <w:color w:val="FFFFFF"/>
                <w:sz w:val="16"/>
              </w:rPr>
              <w:t>Incentive reality at SABLE scale</w:t>
            </w:r>
          </w:p>
        </w:tc>
        <w:tc>
          <w:tcPr>
            <w:tcW w:type="dxa" w:w="2448"/>
            <w:vAlign w:val="center"/>
            <w:shd w:fill="111827"/>
          </w:tcPr>
          <w:p>
            <w:r/>
            <w:r>
              <w:rPr>
                <w:rFonts w:ascii="Aptos" w:hAnsi="Aptos"/>
                <w:b/>
                <w:color w:val="FFFFFF"/>
                <w:sz w:val="16"/>
              </w:rPr>
              <w:t>Owner-operated verdict</w:t>
            </w:r>
          </w:p>
        </w:tc>
      </w:tr>
      <w:tr>
        <w:tc>
          <w:tcPr>
            <w:tcW w:type="dxa" w:w="1728"/>
            <w:vAlign w:val="center"/>
          </w:tcPr>
          <w:p>
            <w:r/>
            <w:r>
              <w:rPr>
                <w:rFonts w:ascii="Aptos" w:hAnsi="Aptos"/>
                <w:b w:val="0"/>
                <w:sz w:val="16"/>
              </w:rPr>
              <w:t>Reno / Storey County, NV</w:t>
            </w:r>
          </w:p>
        </w:tc>
        <w:tc>
          <w:tcPr>
            <w:tcW w:type="dxa" w:w="2088"/>
            <w:vAlign w:val="center"/>
          </w:tcPr>
          <w:p>
            <w:r/>
            <w:r>
              <w:rPr>
                <w:rFonts w:ascii="Aptos" w:hAnsi="Aptos"/>
                <w:b w:val="0"/>
                <w:sz w:val="16"/>
              </w:rPr>
              <w:t>Q2 2026 asking rent ~$0.80/SF/mo; 11.5% vacancy.</w:t>
            </w:r>
          </w:p>
        </w:tc>
        <w:tc>
          <w:tcPr>
            <w:tcW w:type="dxa" w:w="2664"/>
            <w:vAlign w:val="center"/>
          </w:tcPr>
          <w:p>
            <w:r/>
            <w:r>
              <w:rPr>
                <w:rFonts w:ascii="Aptos" w:hAnsi="Aptos"/>
                <w:b w:val="0"/>
                <w:sz w:val="16"/>
              </w:rPr>
              <w:t>NV Energy small-business reference ~8.86¢/kWh; computer/math wage $48.60/hr; construction $32.48/hr.</w:t>
            </w:r>
          </w:p>
        </w:tc>
        <w:tc>
          <w:tcPr>
            <w:tcW w:type="dxa" w:w="2592"/>
            <w:vAlign w:val="center"/>
          </w:tcPr>
          <w:p>
            <w:r/>
            <w:r>
              <w:rPr>
                <w:rFonts w:ascii="Aptos" w:hAnsi="Aptos"/>
                <w:b w:val="0"/>
                <w:sz w:val="16"/>
              </w:rPr>
              <w:t>Data-center abatement needs $25M aggregate investment/10 jobs. Standard abatements may also be inaccessible if job counts are too low.</w:t>
            </w:r>
          </w:p>
        </w:tc>
        <w:tc>
          <w:tcPr>
            <w:tcW w:type="dxa" w:w="2448"/>
            <w:vAlign w:val="center"/>
          </w:tcPr>
          <w:p>
            <w:r/>
            <w:r>
              <w:rPr>
                <w:rFonts w:ascii="Aptos" w:hAnsi="Aptos"/>
                <w:b w:val="0"/>
                <w:sz w:val="16"/>
              </w:rPr>
              <w:t>Best strategic location; moderate-cost, close to Sacramento, deep DC ecosystem.</w:t>
            </w:r>
          </w:p>
        </w:tc>
      </w:tr>
      <w:tr>
        <w:tc>
          <w:tcPr>
            <w:tcW w:type="dxa" w:w="1728"/>
            <w:vAlign w:val="center"/>
            <w:shd w:fill="F3F4F6"/>
          </w:tcPr>
          <w:p>
            <w:r/>
            <w:r>
              <w:rPr>
                <w:rFonts w:ascii="Aptos" w:hAnsi="Aptos"/>
                <w:b w:val="0"/>
                <w:sz w:val="16"/>
              </w:rPr>
              <w:t>Sacramento, CA</w:t>
            </w:r>
          </w:p>
        </w:tc>
        <w:tc>
          <w:tcPr>
            <w:tcW w:type="dxa" w:w="2088"/>
            <w:vAlign w:val="center"/>
            <w:shd w:fill="F3F4F6"/>
          </w:tcPr>
          <w:p>
            <w:r/>
            <w:r>
              <w:rPr>
                <w:rFonts w:ascii="Aptos" w:hAnsi="Aptos"/>
                <w:b w:val="0"/>
                <w:sz w:val="16"/>
              </w:rPr>
              <w:t>Q2 2026 asking rent ~$0.81/SF/mo; ~6% vacancy (CBRE).</w:t>
            </w:r>
          </w:p>
        </w:tc>
        <w:tc>
          <w:tcPr>
            <w:tcW w:type="dxa" w:w="2664"/>
            <w:vAlign w:val="center"/>
            <w:shd w:fill="F3F4F6"/>
          </w:tcPr>
          <w:p>
            <w:r/>
            <w:r>
              <w:rPr>
                <w:rFonts w:ascii="Aptos" w:hAnsi="Aptos"/>
                <w:b w:val="0"/>
                <w:sz w:val="16"/>
              </w:rPr>
              <w:t>SMUD materially cheaper than PG&amp;E but 21–299 kW tariffs still much higher energy cost than Boise/Utah; computer/math $57.26/hr; construction $36.45/hr.</w:t>
            </w:r>
          </w:p>
        </w:tc>
        <w:tc>
          <w:tcPr>
            <w:tcW w:type="dxa" w:w="2592"/>
            <w:vAlign w:val="center"/>
            <w:shd w:fill="F3F4F6"/>
          </w:tcPr>
          <w:p>
            <w:r/>
            <w:r>
              <w:rPr>
                <w:rFonts w:ascii="Aptos" w:hAnsi="Aptos"/>
                <w:b w:val="0"/>
                <w:sz w:val="16"/>
              </w:rPr>
              <w:t>SMUD EDR requires ≥300 kW; CA manufacturing/R&amp;D partial sales-tax exemption is not automatically applicable to a data center.</w:t>
            </w:r>
          </w:p>
        </w:tc>
        <w:tc>
          <w:tcPr>
            <w:tcW w:type="dxa" w:w="2448"/>
            <w:vAlign w:val="center"/>
            <w:shd w:fill="F3F4F6"/>
          </w:tcPr>
          <w:p>
            <w:r/>
            <w:r>
              <w:rPr>
                <w:rFonts w:ascii="Aptos" w:hAnsi="Aptos"/>
                <w:b w:val="0"/>
                <w:sz w:val="16"/>
              </w:rPr>
              <w:t>Operationally convenient, economically weakest; flood exposure adds site-selection burden.</w:t>
            </w:r>
          </w:p>
        </w:tc>
      </w:tr>
      <w:tr>
        <w:tc>
          <w:tcPr>
            <w:tcW w:type="dxa" w:w="1728"/>
            <w:vAlign w:val="center"/>
          </w:tcPr>
          <w:p>
            <w:r/>
            <w:r>
              <w:rPr>
                <w:rFonts w:ascii="Aptos" w:hAnsi="Aptos"/>
                <w:b w:val="0"/>
                <w:sz w:val="16"/>
              </w:rPr>
              <w:t>Boise, ID</w:t>
            </w:r>
          </w:p>
        </w:tc>
        <w:tc>
          <w:tcPr>
            <w:tcW w:type="dxa" w:w="2088"/>
            <w:vAlign w:val="center"/>
          </w:tcPr>
          <w:p>
            <w:r/>
            <w:r>
              <w:rPr>
                <w:rFonts w:ascii="Aptos" w:hAnsi="Aptos"/>
                <w:b w:val="0"/>
                <w:sz w:val="16"/>
              </w:rPr>
              <w:t>Q2 2026 asking rent ~$0.91/SF/mo; 9.9% vacancy.</w:t>
            </w:r>
          </w:p>
        </w:tc>
        <w:tc>
          <w:tcPr>
            <w:tcW w:type="dxa" w:w="2664"/>
            <w:vAlign w:val="center"/>
          </w:tcPr>
          <w:p>
            <w:r/>
            <w:r>
              <w:rPr>
                <w:rFonts w:ascii="Aptos" w:hAnsi="Aptos"/>
                <w:b w:val="0"/>
                <w:sz w:val="16"/>
              </w:rPr>
              <w:t>Idaho Power Schedule 9 energy ~5.0¢/kWh plus demand/PCA; construction $28.58/hr.</w:t>
            </w:r>
          </w:p>
        </w:tc>
        <w:tc>
          <w:tcPr>
            <w:tcW w:type="dxa" w:w="2592"/>
            <w:vAlign w:val="center"/>
          </w:tcPr>
          <w:p>
            <w:r/>
            <w:r>
              <w:rPr>
                <w:rFonts w:ascii="Aptos" w:hAnsi="Aptos"/>
                <w:b w:val="0"/>
                <w:sz w:val="16"/>
              </w:rPr>
              <w:t>Data-center sales-tax exemption requires $250M investment and 30 jobs, so irrelevant at current scale.</w:t>
            </w:r>
          </w:p>
        </w:tc>
        <w:tc>
          <w:tcPr>
            <w:tcW w:type="dxa" w:w="2448"/>
            <w:vAlign w:val="center"/>
          </w:tcPr>
          <w:p>
            <w:r/>
            <w:r>
              <w:rPr>
                <w:rFonts w:ascii="Aptos" w:hAnsi="Aptos"/>
                <w:b w:val="0"/>
                <w:sz w:val="16"/>
              </w:rPr>
              <w:t>Lowest-cost serious conversion market; weaker Sacramento logistics and DC ecosystem.</w:t>
            </w:r>
          </w:p>
        </w:tc>
      </w:tr>
      <w:tr>
        <w:tc>
          <w:tcPr>
            <w:tcW w:type="dxa" w:w="1728"/>
            <w:vAlign w:val="center"/>
            <w:shd w:fill="F3F4F6"/>
          </w:tcPr>
          <w:p>
            <w:r/>
            <w:r>
              <w:rPr>
                <w:rFonts w:ascii="Aptos" w:hAnsi="Aptos"/>
                <w:b w:val="0"/>
                <w:sz w:val="16"/>
              </w:rPr>
              <w:t>Las Vegas, NV</w:t>
            </w:r>
          </w:p>
        </w:tc>
        <w:tc>
          <w:tcPr>
            <w:tcW w:type="dxa" w:w="2088"/>
            <w:vAlign w:val="center"/>
            <w:shd w:fill="F3F4F6"/>
          </w:tcPr>
          <w:p>
            <w:r/>
            <w:r>
              <w:rPr>
                <w:rFonts w:ascii="Aptos" w:hAnsi="Aptos"/>
                <w:b w:val="0"/>
                <w:sz w:val="16"/>
              </w:rPr>
              <w:t>Q2 2026 asking rent ~$1.10/SF/mo; 9.1% vacancy.</w:t>
            </w:r>
          </w:p>
        </w:tc>
        <w:tc>
          <w:tcPr>
            <w:tcW w:type="dxa" w:w="2664"/>
            <w:vAlign w:val="center"/>
            <w:shd w:fill="F3F4F6"/>
          </w:tcPr>
          <w:p>
            <w:r/>
            <w:r>
              <w:rPr>
                <w:rFonts w:ascii="Aptos" w:hAnsi="Aptos"/>
                <w:b w:val="0"/>
                <w:sz w:val="16"/>
              </w:rPr>
              <w:t>Low wages and favorable NV tax structure; hot climate drives higher PUE/cooling.</w:t>
            </w:r>
          </w:p>
        </w:tc>
        <w:tc>
          <w:tcPr>
            <w:tcW w:type="dxa" w:w="2592"/>
            <w:vAlign w:val="center"/>
            <w:shd w:fill="F3F4F6"/>
          </w:tcPr>
          <w:p>
            <w:r/>
            <w:r>
              <w:rPr>
                <w:rFonts w:ascii="Aptos" w:hAnsi="Aptos"/>
                <w:b w:val="0"/>
                <w:sz w:val="16"/>
              </w:rPr>
              <w:t>Same Nevada incentive thresholds; small SABLE build unlikely to qualify directly.</w:t>
            </w:r>
          </w:p>
        </w:tc>
        <w:tc>
          <w:tcPr>
            <w:tcW w:type="dxa" w:w="2448"/>
            <w:vAlign w:val="center"/>
            <w:shd w:fill="F3F4F6"/>
          </w:tcPr>
          <w:p>
            <w:r/>
            <w:r>
              <w:rPr>
                <w:rFonts w:ascii="Aptos" w:hAnsi="Aptos"/>
                <w:b w:val="0"/>
                <w:sz w:val="16"/>
              </w:rPr>
              <w:t>Good DR/secondary; primary ownership feasible but heat penalty and distance reduce appeal.</w:t>
            </w:r>
          </w:p>
        </w:tc>
      </w:tr>
      <w:tr>
        <w:tc>
          <w:tcPr>
            <w:tcW w:type="dxa" w:w="1728"/>
            <w:vAlign w:val="center"/>
          </w:tcPr>
          <w:p>
            <w:r/>
            <w:r>
              <w:rPr>
                <w:rFonts w:ascii="Aptos" w:hAnsi="Aptos"/>
                <w:b w:val="0"/>
                <w:sz w:val="16"/>
              </w:rPr>
              <w:t>Salt Lake City, UT</w:t>
            </w:r>
          </w:p>
        </w:tc>
        <w:tc>
          <w:tcPr>
            <w:tcW w:type="dxa" w:w="2088"/>
            <w:vAlign w:val="center"/>
          </w:tcPr>
          <w:p>
            <w:r/>
            <w:r>
              <w:rPr>
                <w:rFonts w:ascii="Aptos" w:hAnsi="Aptos"/>
                <w:b w:val="0"/>
                <w:sz w:val="16"/>
              </w:rPr>
              <w:t>Q2 2026 asking rent ~$0.87/SF/mo; vacancy ~4.8%.</w:t>
            </w:r>
          </w:p>
        </w:tc>
        <w:tc>
          <w:tcPr>
            <w:tcW w:type="dxa" w:w="2664"/>
            <w:vAlign w:val="center"/>
          </w:tcPr>
          <w:p>
            <w:r/>
            <w:r>
              <w:rPr>
                <w:rFonts w:ascii="Aptos" w:hAnsi="Aptos"/>
                <w:b w:val="0"/>
                <w:sz w:val="16"/>
              </w:rPr>
              <w:t>Rocky Mountain Power Schedule 6 low energy rate plus demand charges; computer/math labor very deep.</w:t>
            </w:r>
          </w:p>
        </w:tc>
        <w:tc>
          <w:tcPr>
            <w:tcW w:type="dxa" w:w="2592"/>
            <w:vAlign w:val="center"/>
          </w:tcPr>
          <w:p>
            <w:r/>
            <w:r>
              <w:rPr>
                <w:rFonts w:ascii="Aptos" w:hAnsi="Aptos"/>
                <w:b w:val="0"/>
                <w:sz w:val="16"/>
              </w:rPr>
              <w:t>Large-scale data-center incentives are unlikely to apply to a small facility.</w:t>
            </w:r>
          </w:p>
        </w:tc>
        <w:tc>
          <w:tcPr>
            <w:tcW w:type="dxa" w:w="2448"/>
            <w:vAlign w:val="center"/>
          </w:tcPr>
          <w:p>
            <w:r/>
            <w:r>
              <w:rPr>
                <w:rFonts w:ascii="Aptos" w:hAnsi="Aptos"/>
                <w:b w:val="0"/>
                <w:sz w:val="16"/>
              </w:rPr>
              <w:t>Excellent talent/power compromise; Wasatch seismic risk is material.</w:t>
            </w:r>
          </w:p>
        </w:tc>
      </w:tr>
      <w:tr>
        <w:tc>
          <w:tcPr>
            <w:tcW w:type="dxa" w:w="1728"/>
            <w:vAlign w:val="center"/>
            <w:shd w:fill="F3F4F6"/>
          </w:tcPr>
          <w:p>
            <w:r/>
            <w:r>
              <w:rPr>
                <w:rFonts w:ascii="Aptos" w:hAnsi="Aptos"/>
                <w:b w:val="0"/>
                <w:sz w:val="16"/>
              </w:rPr>
              <w:t>Quincy / Central WA</w:t>
            </w:r>
          </w:p>
        </w:tc>
        <w:tc>
          <w:tcPr>
            <w:tcW w:type="dxa" w:w="2088"/>
            <w:vAlign w:val="center"/>
            <w:shd w:fill="F3F4F6"/>
          </w:tcPr>
          <w:p>
            <w:r/>
            <w:r>
              <w:rPr>
                <w:rFonts w:ascii="Aptos" w:hAnsi="Aptos"/>
                <w:b w:val="0"/>
                <w:sz w:val="16"/>
              </w:rPr>
              <w:t>Rural industrial property can be cheaper; parcel diligence required.</w:t>
            </w:r>
          </w:p>
        </w:tc>
        <w:tc>
          <w:tcPr>
            <w:tcW w:type="dxa" w:w="2664"/>
            <w:vAlign w:val="center"/>
            <w:shd w:fill="F3F4F6"/>
          </w:tcPr>
          <w:p>
            <w:r/>
            <w:r>
              <w:rPr>
                <w:rFonts w:ascii="Aptos" w:hAnsi="Aptos"/>
                <w:b w:val="0"/>
                <w:sz w:val="16"/>
              </w:rPr>
              <w:t>Extremely favorable hydro-based electricity potential.</w:t>
            </w:r>
          </w:p>
        </w:tc>
        <w:tc>
          <w:tcPr>
            <w:tcW w:type="dxa" w:w="2592"/>
            <w:vAlign w:val="center"/>
            <w:shd w:fill="F3F4F6"/>
          </w:tcPr>
          <w:p>
            <w:r/>
            <w:r>
              <w:rPr>
                <w:rFonts w:ascii="Aptos" w:hAnsi="Aptos"/>
                <w:b w:val="0"/>
                <w:sz w:val="16"/>
              </w:rPr>
              <w:t>WA data-center exemption requires ≥100,000 SF qualifying facility; not useful for a small private site.</w:t>
            </w:r>
          </w:p>
        </w:tc>
        <w:tc>
          <w:tcPr>
            <w:tcW w:type="dxa" w:w="2448"/>
            <w:vAlign w:val="center"/>
            <w:shd w:fill="F3F4F6"/>
          </w:tcPr>
          <w:p>
            <w:r/>
            <w:r>
              <w:rPr>
                <w:rFonts w:ascii="Aptos" w:hAnsi="Aptos"/>
                <w:b w:val="0"/>
                <w:sz w:val="16"/>
              </w:rPr>
              <w:t>Pure-cost winner in model, but weakest logistics/labor depth and wildfire/severe-weather exposure.</w:t>
            </w:r>
          </w:p>
        </w:tc>
      </w:tr>
    </w:tbl>
    <w:p>
      <w:pPr>
        <w:spacing w:after="20"/>
      </w:pPr>
    </w:p>
    <w:p>
      <w:pPr>
        <w:pStyle w:val="Heading1"/>
      </w:pPr>
      <w:r>
        <w:t>Hazard and resilience considerations</w:t>
      </w:r>
    </w:p>
    <w:p>
      <w:r>
        <w:t>Natural-hazard exposure does not eliminate any finalist, but it changes site engineering. Washoe County’s FEMA-approved 2025 hazard plan highlights flooding and wildland fire among regional concerns.⁶ Sacramento County explicitly identifies flood, drought, earthquake and severe weather, and its flood-management program is unusually mature.⁷ Salt Lake County warns of active fault-line exposure.⁸ Grant County, Washington classifies wildfire as high risk and earthquake/flood/severe storm as medium risk in its mitigation planning.⁹</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11827"/>
          </w:tcPr>
          <w:p>
            <w:r/>
            <w:r>
              <w:rPr>
                <w:rFonts w:ascii="Aptos" w:hAnsi="Aptos"/>
                <w:b/>
                <w:color w:val="FFFFFF"/>
                <w:sz w:val="16"/>
              </w:rPr>
              <w:t>Region</w:t>
            </w:r>
          </w:p>
        </w:tc>
        <w:tc>
          <w:tcPr>
            <w:tcW w:type="dxa" w:w="4032"/>
            <w:vAlign w:val="center"/>
            <w:shd w:fill="111827"/>
          </w:tcPr>
          <w:p>
            <w:r/>
            <w:r>
              <w:rPr>
                <w:rFonts w:ascii="Aptos" w:hAnsi="Aptos"/>
                <w:b/>
                <w:color w:val="FFFFFF"/>
                <w:sz w:val="16"/>
              </w:rPr>
              <w:t>Primary hazard considerations</w:t>
            </w:r>
          </w:p>
        </w:tc>
        <w:tc>
          <w:tcPr>
            <w:tcW w:type="dxa" w:w="5616"/>
            <w:vAlign w:val="center"/>
            <w:shd w:fill="111827"/>
          </w:tcPr>
          <w:p>
            <w:r/>
            <w:r>
              <w:rPr>
                <w:rFonts w:ascii="Aptos" w:hAnsi="Aptos"/>
                <w:b/>
                <w:color w:val="FFFFFF"/>
                <w:sz w:val="16"/>
              </w:rPr>
              <w:t>Design response</w:t>
            </w:r>
          </w:p>
        </w:tc>
      </w:tr>
      <w:tr>
        <w:tc>
          <w:tcPr>
            <w:tcW w:type="dxa" w:w="1872"/>
            <w:vAlign w:val="center"/>
          </w:tcPr>
          <w:p>
            <w:r/>
            <w:r>
              <w:rPr>
                <w:rFonts w:ascii="Aptos" w:hAnsi="Aptos"/>
                <w:b w:val="0"/>
                <w:sz w:val="16"/>
              </w:rPr>
              <w:t>Reno / Storey</w:t>
            </w:r>
          </w:p>
        </w:tc>
        <w:tc>
          <w:tcPr>
            <w:tcW w:type="dxa" w:w="4032"/>
            <w:vAlign w:val="center"/>
          </w:tcPr>
          <w:p>
            <w:r/>
            <w:r>
              <w:rPr>
                <w:rFonts w:ascii="Aptos" w:hAnsi="Aptos"/>
                <w:b w:val="0"/>
                <w:sz w:val="16"/>
              </w:rPr>
              <w:t>Wildfire/smoke, flood in specific basins, earthquake, winter transport.</w:t>
            </w:r>
          </w:p>
        </w:tc>
        <w:tc>
          <w:tcPr>
            <w:tcW w:type="dxa" w:w="5616"/>
            <w:vAlign w:val="center"/>
          </w:tcPr>
          <w:p>
            <w:r/>
            <w:r>
              <w:rPr>
                <w:rFonts w:ascii="Aptos" w:hAnsi="Aptos"/>
                <w:b w:val="0"/>
                <w:sz w:val="16"/>
              </w:rPr>
              <w:t>Avoid wildland interface/floodplain; dual air filtration; seismic bracing; fuel reserve; carrier route diversity.</w:t>
            </w:r>
          </w:p>
        </w:tc>
      </w:tr>
      <w:tr>
        <w:tc>
          <w:tcPr>
            <w:tcW w:type="dxa" w:w="1872"/>
            <w:vAlign w:val="center"/>
            <w:shd w:fill="F3F4F6"/>
          </w:tcPr>
          <w:p>
            <w:r/>
            <w:r>
              <w:rPr>
                <w:rFonts w:ascii="Aptos" w:hAnsi="Aptos"/>
                <w:b w:val="0"/>
                <w:sz w:val="16"/>
              </w:rPr>
              <w:t>Sacramento</w:t>
            </w:r>
          </w:p>
        </w:tc>
        <w:tc>
          <w:tcPr>
            <w:tcW w:type="dxa" w:w="4032"/>
            <w:vAlign w:val="center"/>
            <w:shd w:fill="F3F4F6"/>
          </w:tcPr>
          <w:p>
            <w:r/>
            <w:r>
              <w:rPr>
                <w:rFonts w:ascii="Aptos" w:hAnsi="Aptos"/>
                <w:b w:val="0"/>
                <w:sz w:val="16"/>
              </w:rPr>
              <w:t>Flood/levee, heat, earthquake, wildfire smoke.</w:t>
            </w:r>
          </w:p>
        </w:tc>
        <w:tc>
          <w:tcPr>
            <w:tcW w:type="dxa" w:w="5616"/>
            <w:vAlign w:val="center"/>
            <w:shd w:fill="F3F4F6"/>
          </w:tcPr>
          <w:p>
            <w:r/>
            <w:r>
              <w:rPr>
                <w:rFonts w:ascii="Aptos" w:hAnsi="Aptos"/>
                <w:b w:val="0"/>
                <w:sz w:val="16"/>
              </w:rPr>
              <w:t>Avoid floodplain/levee exposure; elevated critical equipment; flood insurance; dual-grid/carrier planning.</w:t>
            </w:r>
          </w:p>
        </w:tc>
      </w:tr>
      <w:tr>
        <w:tc>
          <w:tcPr>
            <w:tcW w:type="dxa" w:w="1872"/>
            <w:vAlign w:val="center"/>
          </w:tcPr>
          <w:p>
            <w:r/>
            <w:r>
              <w:rPr>
                <w:rFonts w:ascii="Aptos" w:hAnsi="Aptos"/>
                <w:b w:val="0"/>
                <w:sz w:val="16"/>
              </w:rPr>
              <w:t>Boise</w:t>
            </w:r>
          </w:p>
        </w:tc>
        <w:tc>
          <w:tcPr>
            <w:tcW w:type="dxa" w:w="4032"/>
            <w:vAlign w:val="center"/>
          </w:tcPr>
          <w:p>
            <w:r/>
            <w:r>
              <w:rPr>
                <w:rFonts w:ascii="Aptos" w:hAnsi="Aptos"/>
                <w:b w:val="0"/>
                <w:sz w:val="16"/>
              </w:rPr>
              <w:t>Wildfire smoke, flood, earthquake/extreme weather.</w:t>
            </w:r>
          </w:p>
        </w:tc>
        <w:tc>
          <w:tcPr>
            <w:tcW w:type="dxa" w:w="5616"/>
            <w:vAlign w:val="center"/>
          </w:tcPr>
          <w:p>
            <w:r/>
            <w:r>
              <w:rPr>
                <w:rFonts w:ascii="Aptos" w:hAnsi="Aptos"/>
                <w:b w:val="0"/>
                <w:sz w:val="16"/>
              </w:rPr>
              <w:t>Industrial site outside flood/wildland interface; air filtration; seismic restraint.</w:t>
            </w:r>
          </w:p>
        </w:tc>
      </w:tr>
      <w:tr>
        <w:tc>
          <w:tcPr>
            <w:tcW w:type="dxa" w:w="1872"/>
            <w:vAlign w:val="center"/>
            <w:shd w:fill="F3F4F6"/>
          </w:tcPr>
          <w:p>
            <w:r/>
            <w:r>
              <w:rPr>
                <w:rFonts w:ascii="Aptos" w:hAnsi="Aptos"/>
                <w:b w:val="0"/>
                <w:sz w:val="16"/>
              </w:rPr>
              <w:t>Las Vegas</w:t>
            </w:r>
          </w:p>
        </w:tc>
        <w:tc>
          <w:tcPr>
            <w:tcW w:type="dxa" w:w="4032"/>
            <w:vAlign w:val="center"/>
            <w:shd w:fill="F3F4F6"/>
          </w:tcPr>
          <w:p>
            <w:r/>
            <w:r>
              <w:rPr>
                <w:rFonts w:ascii="Aptos" w:hAnsi="Aptos"/>
                <w:b w:val="0"/>
                <w:sz w:val="16"/>
              </w:rPr>
              <w:t>Extreme heat, flash flood, water constraints, earthquake.</w:t>
            </w:r>
          </w:p>
        </w:tc>
        <w:tc>
          <w:tcPr>
            <w:tcW w:type="dxa" w:w="5616"/>
            <w:vAlign w:val="center"/>
            <w:shd w:fill="F3F4F6"/>
          </w:tcPr>
          <w:p>
            <w:r/>
            <w:r>
              <w:rPr>
                <w:rFonts w:ascii="Aptos" w:hAnsi="Aptos"/>
                <w:b w:val="0"/>
                <w:sz w:val="16"/>
              </w:rPr>
              <w:t>High-temperature design basis, dry/closed-loop cooling, flood routing, oversized generator/cooling reserve.</w:t>
            </w:r>
          </w:p>
        </w:tc>
      </w:tr>
      <w:tr>
        <w:tc>
          <w:tcPr>
            <w:tcW w:type="dxa" w:w="1872"/>
            <w:vAlign w:val="center"/>
          </w:tcPr>
          <w:p>
            <w:r/>
            <w:r>
              <w:rPr>
                <w:rFonts w:ascii="Aptos" w:hAnsi="Aptos"/>
                <w:b w:val="0"/>
                <w:sz w:val="16"/>
              </w:rPr>
              <w:t>Salt Lake</w:t>
            </w:r>
          </w:p>
        </w:tc>
        <w:tc>
          <w:tcPr>
            <w:tcW w:type="dxa" w:w="4032"/>
            <w:vAlign w:val="center"/>
          </w:tcPr>
          <w:p>
            <w:r/>
            <w:r>
              <w:rPr>
                <w:rFonts w:ascii="Aptos" w:hAnsi="Aptos"/>
                <w:b w:val="0"/>
                <w:sz w:val="16"/>
              </w:rPr>
              <w:t>Earthquake, winter weather, flood/wildfire.</w:t>
            </w:r>
          </w:p>
        </w:tc>
        <w:tc>
          <w:tcPr>
            <w:tcW w:type="dxa" w:w="5616"/>
            <w:vAlign w:val="center"/>
          </w:tcPr>
          <w:p>
            <w:r/>
            <w:r>
              <w:rPr>
                <w:rFonts w:ascii="Aptos" w:hAnsi="Aptos"/>
                <w:b w:val="0"/>
                <w:sz w:val="16"/>
              </w:rPr>
              <w:t>Seismic design and nonstructural restraint are major cost/engineering items.</w:t>
            </w:r>
          </w:p>
        </w:tc>
      </w:tr>
      <w:tr>
        <w:tc>
          <w:tcPr>
            <w:tcW w:type="dxa" w:w="1872"/>
            <w:vAlign w:val="center"/>
            <w:shd w:fill="F3F4F6"/>
          </w:tcPr>
          <w:p>
            <w:r/>
            <w:r>
              <w:rPr>
                <w:rFonts w:ascii="Aptos" w:hAnsi="Aptos"/>
                <w:b w:val="0"/>
                <w:sz w:val="16"/>
              </w:rPr>
              <w:t>Central WA</w:t>
            </w:r>
          </w:p>
        </w:tc>
        <w:tc>
          <w:tcPr>
            <w:tcW w:type="dxa" w:w="4032"/>
            <w:vAlign w:val="center"/>
            <w:shd w:fill="F3F4F6"/>
          </w:tcPr>
          <w:p>
            <w:r/>
            <w:r>
              <w:rPr>
                <w:rFonts w:ascii="Aptos" w:hAnsi="Aptos"/>
                <w:b w:val="0"/>
                <w:sz w:val="16"/>
              </w:rPr>
              <w:t>Wildfire, severe storm, earthquake/flood.</w:t>
            </w:r>
          </w:p>
        </w:tc>
        <w:tc>
          <w:tcPr>
            <w:tcW w:type="dxa" w:w="5616"/>
            <w:vAlign w:val="center"/>
            <w:shd w:fill="F3F4F6"/>
          </w:tcPr>
          <w:p>
            <w:r/>
            <w:r>
              <w:rPr>
                <w:rFonts w:ascii="Aptos" w:hAnsi="Aptos"/>
                <w:b w:val="0"/>
                <w:sz w:val="16"/>
              </w:rPr>
              <w:t>Defensible site, smoke filtration, fuel and transport planning, geographically separate recovery.</w:t>
            </w:r>
          </w:p>
        </w:tc>
      </w:tr>
    </w:tbl>
    <w:p>
      <w:pPr>
        <w:spacing w:after="20"/>
      </w:pPr>
    </w:p>
    <w:p>
      <w:pPr>
        <w:pStyle w:val="Heading1"/>
      </w:pPr>
      <w:r>
        <w:t>Economic model</w:t>
      </w:r>
    </w:p>
    <w:p>
      <w:r>
        <w:t>The accompanying workbook provides editable assumptions and formulas. Base-case colocation is modeled at $350 per committed kW-month plus fixed network/cross-connect costs; this is a sensitivity anchor, not a Switch quote. Owner-operated cost includes building acquisition, retrofit CAPEX, energy/PUE, incremental facilities/security labor, maintenance, property/insurance allowance, telecom, and a conservative residual value. Common application/platform engineering that exists under either model is excluded.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872"/>
            <w:vAlign w:val="center"/>
            <w:shd w:fill="111827"/>
          </w:tcPr>
          <w:p>
            <w:r/>
            <w:r>
              <w:rPr>
                <w:rFonts w:ascii="Aptos" w:hAnsi="Aptos"/>
                <w:b/>
                <w:color w:val="FFFFFF"/>
                <w:sz w:val="16"/>
              </w:rPr>
              <w:t>Site</w:t>
            </w:r>
          </w:p>
        </w:tc>
        <w:tc>
          <w:tcPr>
            <w:tcW w:type="dxa" w:w="1800"/>
            <w:vAlign w:val="center"/>
            <w:shd w:fill="111827"/>
          </w:tcPr>
          <w:p>
            <w:r/>
            <w:r>
              <w:rPr>
                <w:rFonts w:ascii="Aptos" w:hAnsi="Aptos"/>
                <w:b/>
                <w:color w:val="FFFFFF"/>
                <w:sz w:val="16"/>
              </w:rPr>
              <w:t>100 kW owned 10Y TCO</w:t>
            </w:r>
          </w:p>
        </w:tc>
        <w:tc>
          <w:tcPr>
            <w:tcW w:type="dxa" w:w="1584"/>
            <w:vAlign w:val="center"/>
            <w:shd w:fill="111827"/>
          </w:tcPr>
          <w:p>
            <w:r/>
            <w:r>
              <w:rPr>
                <w:rFonts w:ascii="Aptos" w:hAnsi="Aptos"/>
                <w:b/>
                <w:color w:val="FFFFFF"/>
                <w:sz w:val="16"/>
              </w:rPr>
              <w:t>100 kW colo 10Y</w:t>
            </w:r>
          </w:p>
        </w:tc>
        <w:tc>
          <w:tcPr>
            <w:tcW w:type="dxa" w:w="1944"/>
            <w:vAlign w:val="center"/>
            <w:shd w:fill="111827"/>
          </w:tcPr>
          <w:p>
            <w:r/>
            <w:r>
              <w:rPr>
                <w:rFonts w:ascii="Aptos" w:hAnsi="Aptos"/>
                <w:b/>
                <w:color w:val="FFFFFF"/>
                <w:sz w:val="16"/>
              </w:rPr>
              <w:t>250 kW owned 10Y TCO</w:t>
            </w:r>
          </w:p>
        </w:tc>
        <w:tc>
          <w:tcPr>
            <w:tcW w:type="dxa" w:w="1656"/>
            <w:vAlign w:val="center"/>
            <w:shd w:fill="111827"/>
          </w:tcPr>
          <w:p>
            <w:r/>
            <w:r>
              <w:rPr>
                <w:rFonts w:ascii="Aptos" w:hAnsi="Aptos"/>
                <w:b/>
                <w:color w:val="FFFFFF"/>
                <w:sz w:val="16"/>
              </w:rPr>
              <w:t>250 kW colo 10Y</w:t>
            </w:r>
          </w:p>
        </w:tc>
        <w:tc>
          <w:tcPr>
            <w:tcW w:type="dxa" w:w="1512"/>
            <w:vAlign w:val="center"/>
            <w:shd w:fill="111827"/>
          </w:tcPr>
          <w:p>
            <w:r/>
            <w:r>
              <w:rPr>
                <w:rFonts w:ascii="Aptos" w:hAnsi="Aptos"/>
                <w:b/>
                <w:color w:val="FFFFFF"/>
                <w:sz w:val="16"/>
              </w:rPr>
              <w:t>250 kW breakeven</w:t>
            </w:r>
          </w:p>
        </w:tc>
      </w:tr>
      <w:tr>
        <w:tc>
          <w:tcPr>
            <w:tcW w:type="dxa" w:w="1872"/>
            <w:vAlign w:val="center"/>
          </w:tcPr>
          <w:p>
            <w:r/>
            <w:r>
              <w:rPr>
                <w:rFonts w:ascii="Aptos" w:hAnsi="Aptos"/>
                <w:b w:val="0"/>
                <w:sz w:val="16"/>
              </w:rPr>
              <w:t>Reno / Storey</w:t>
            </w:r>
          </w:p>
        </w:tc>
        <w:tc>
          <w:tcPr>
            <w:tcW w:type="dxa" w:w="1800"/>
            <w:vAlign w:val="center"/>
          </w:tcPr>
          <w:p>
            <w:r/>
            <w:r>
              <w:rPr>
                <w:rFonts w:ascii="Aptos" w:hAnsi="Aptos"/>
                <w:b w:val="0"/>
                <w:sz w:val="16"/>
              </w:rPr>
              <w:t>$6.15M</w:t>
            </w:r>
          </w:p>
        </w:tc>
        <w:tc>
          <w:tcPr>
            <w:tcW w:type="dxa" w:w="1584"/>
            <w:vAlign w:val="center"/>
          </w:tcPr>
          <w:p>
            <w:r/>
            <w:r>
              <w:rPr>
                <w:rFonts w:ascii="Aptos" w:hAnsi="Aptos"/>
                <w:b w:val="0"/>
                <w:sz w:val="16"/>
              </w:rPr>
              <w:t>$4.74M</w:t>
            </w:r>
          </w:p>
        </w:tc>
        <w:tc>
          <w:tcPr>
            <w:tcW w:type="dxa" w:w="1944"/>
            <w:vAlign w:val="center"/>
          </w:tcPr>
          <w:p>
            <w:r/>
            <w:r>
              <w:rPr>
                <w:rFonts w:ascii="Aptos" w:hAnsi="Aptos"/>
                <w:b w:val="0"/>
                <w:sz w:val="16"/>
              </w:rPr>
              <w:t>$10.39M</w:t>
            </w:r>
          </w:p>
        </w:tc>
        <w:tc>
          <w:tcPr>
            <w:tcW w:type="dxa" w:w="1656"/>
            <w:vAlign w:val="center"/>
          </w:tcPr>
          <w:p>
            <w:r/>
            <w:r>
              <w:rPr>
                <w:rFonts w:ascii="Aptos" w:hAnsi="Aptos"/>
                <w:b w:val="0"/>
                <w:sz w:val="16"/>
              </w:rPr>
              <w:t>$11.22M</w:t>
            </w:r>
          </w:p>
        </w:tc>
        <w:tc>
          <w:tcPr>
            <w:tcW w:type="dxa" w:w="1512"/>
            <w:vAlign w:val="center"/>
          </w:tcPr>
          <w:p>
            <w:r/>
            <w:r>
              <w:rPr>
                <w:rFonts w:ascii="Aptos" w:hAnsi="Aptos"/>
                <w:b w:val="0"/>
                <w:sz w:val="16"/>
              </w:rPr>
              <w:t>~7.8 years</w:t>
            </w:r>
          </w:p>
        </w:tc>
      </w:tr>
      <w:tr>
        <w:tc>
          <w:tcPr>
            <w:tcW w:type="dxa" w:w="1872"/>
            <w:vAlign w:val="center"/>
            <w:shd w:fill="F3F4F6"/>
          </w:tcPr>
          <w:p>
            <w:r/>
            <w:r>
              <w:rPr>
                <w:rFonts w:ascii="Aptos" w:hAnsi="Aptos"/>
                <w:b w:val="0"/>
                <w:sz w:val="16"/>
              </w:rPr>
              <w:t>Sacramento</w:t>
            </w:r>
          </w:p>
        </w:tc>
        <w:tc>
          <w:tcPr>
            <w:tcW w:type="dxa" w:w="1800"/>
            <w:vAlign w:val="center"/>
            <w:shd w:fill="F3F4F6"/>
          </w:tcPr>
          <w:p>
            <w:r/>
            <w:r>
              <w:rPr>
                <w:rFonts w:ascii="Aptos" w:hAnsi="Aptos"/>
                <w:b w:val="0"/>
                <w:sz w:val="16"/>
              </w:rPr>
              <w:t>$6.99M</w:t>
            </w:r>
          </w:p>
        </w:tc>
        <w:tc>
          <w:tcPr>
            <w:tcW w:type="dxa" w:w="1584"/>
            <w:vAlign w:val="center"/>
            <w:shd w:fill="F3F4F6"/>
          </w:tcPr>
          <w:p>
            <w:r/>
            <w:r>
              <w:rPr>
                <w:rFonts w:ascii="Aptos" w:hAnsi="Aptos"/>
                <w:b w:val="0"/>
                <w:sz w:val="16"/>
              </w:rPr>
              <w:t>$4.74M</w:t>
            </w:r>
          </w:p>
        </w:tc>
        <w:tc>
          <w:tcPr>
            <w:tcW w:type="dxa" w:w="1944"/>
            <w:vAlign w:val="center"/>
            <w:shd w:fill="F3F4F6"/>
          </w:tcPr>
          <w:p>
            <w:r/>
            <w:r>
              <w:rPr>
                <w:rFonts w:ascii="Aptos" w:hAnsi="Aptos"/>
                <w:b w:val="0"/>
                <w:sz w:val="16"/>
              </w:rPr>
              <w:t>$12.13M</w:t>
            </w:r>
          </w:p>
        </w:tc>
        <w:tc>
          <w:tcPr>
            <w:tcW w:type="dxa" w:w="1656"/>
            <w:vAlign w:val="center"/>
            <w:shd w:fill="F3F4F6"/>
          </w:tcPr>
          <w:p>
            <w:r/>
            <w:r>
              <w:rPr>
                <w:rFonts w:ascii="Aptos" w:hAnsi="Aptos"/>
                <w:b w:val="0"/>
                <w:sz w:val="16"/>
              </w:rPr>
              <w:t>$11.22M</w:t>
            </w:r>
          </w:p>
        </w:tc>
        <w:tc>
          <w:tcPr>
            <w:tcW w:type="dxa" w:w="1512"/>
            <w:vAlign w:val="center"/>
            <w:shd w:fill="F3F4F6"/>
          </w:tcPr>
          <w:p>
            <w:r/>
            <w:r>
              <w:rPr>
                <w:rFonts w:ascii="Aptos" w:hAnsi="Aptos"/>
                <w:b w:val="0"/>
                <w:sz w:val="16"/>
              </w:rPr>
              <w:t>~14.0 years</w:t>
            </w:r>
          </w:p>
        </w:tc>
      </w:tr>
      <w:tr>
        <w:tc>
          <w:tcPr>
            <w:tcW w:type="dxa" w:w="1872"/>
            <w:vAlign w:val="center"/>
          </w:tcPr>
          <w:p>
            <w:r/>
            <w:r>
              <w:rPr>
                <w:rFonts w:ascii="Aptos" w:hAnsi="Aptos"/>
                <w:b w:val="0"/>
                <w:sz w:val="16"/>
              </w:rPr>
              <w:t>Boise</w:t>
            </w:r>
          </w:p>
        </w:tc>
        <w:tc>
          <w:tcPr>
            <w:tcW w:type="dxa" w:w="1800"/>
            <w:vAlign w:val="center"/>
          </w:tcPr>
          <w:p>
            <w:r/>
            <w:r>
              <w:rPr>
                <w:rFonts w:ascii="Aptos" w:hAnsi="Aptos"/>
                <w:b w:val="0"/>
                <w:sz w:val="16"/>
              </w:rPr>
              <w:t>$5.49M</w:t>
            </w:r>
          </w:p>
        </w:tc>
        <w:tc>
          <w:tcPr>
            <w:tcW w:type="dxa" w:w="1584"/>
            <w:vAlign w:val="center"/>
          </w:tcPr>
          <w:p>
            <w:r/>
            <w:r>
              <w:rPr>
                <w:rFonts w:ascii="Aptos" w:hAnsi="Aptos"/>
                <w:b w:val="0"/>
                <w:sz w:val="16"/>
              </w:rPr>
              <w:t>$4.74M</w:t>
            </w:r>
          </w:p>
        </w:tc>
        <w:tc>
          <w:tcPr>
            <w:tcW w:type="dxa" w:w="1944"/>
            <w:vAlign w:val="center"/>
          </w:tcPr>
          <w:p>
            <w:r/>
            <w:r>
              <w:rPr>
                <w:rFonts w:ascii="Aptos" w:hAnsi="Aptos"/>
                <w:b w:val="0"/>
                <w:sz w:val="16"/>
              </w:rPr>
              <w:t>$9.12M</w:t>
            </w:r>
          </w:p>
        </w:tc>
        <w:tc>
          <w:tcPr>
            <w:tcW w:type="dxa" w:w="1656"/>
            <w:vAlign w:val="center"/>
          </w:tcPr>
          <w:p>
            <w:r/>
            <w:r>
              <w:rPr>
                <w:rFonts w:ascii="Aptos" w:hAnsi="Aptos"/>
                <w:b w:val="0"/>
                <w:sz w:val="16"/>
              </w:rPr>
              <w:t>$11.22M</w:t>
            </w:r>
          </w:p>
        </w:tc>
        <w:tc>
          <w:tcPr>
            <w:tcW w:type="dxa" w:w="1512"/>
            <w:vAlign w:val="center"/>
          </w:tcPr>
          <w:p>
            <w:r/>
            <w:r>
              <w:rPr>
                <w:rFonts w:ascii="Aptos" w:hAnsi="Aptos"/>
                <w:b w:val="0"/>
                <w:sz w:val="16"/>
              </w:rPr>
              <w:t>~5.6 years</w:t>
            </w:r>
          </w:p>
        </w:tc>
      </w:tr>
      <w:tr>
        <w:tc>
          <w:tcPr>
            <w:tcW w:type="dxa" w:w="1872"/>
            <w:vAlign w:val="center"/>
            <w:shd w:fill="F3F4F6"/>
          </w:tcPr>
          <w:p>
            <w:r/>
            <w:r>
              <w:rPr>
                <w:rFonts w:ascii="Aptos" w:hAnsi="Aptos"/>
                <w:b w:val="0"/>
                <w:sz w:val="16"/>
              </w:rPr>
              <w:t>Las Vegas</w:t>
            </w:r>
          </w:p>
        </w:tc>
        <w:tc>
          <w:tcPr>
            <w:tcW w:type="dxa" w:w="1800"/>
            <w:vAlign w:val="center"/>
            <w:shd w:fill="F3F4F6"/>
          </w:tcPr>
          <w:p>
            <w:r/>
            <w:r>
              <w:rPr>
                <w:rFonts w:ascii="Aptos" w:hAnsi="Aptos"/>
                <w:b w:val="0"/>
                <w:sz w:val="16"/>
              </w:rPr>
              <w:t>$6.01M</w:t>
            </w:r>
          </w:p>
        </w:tc>
        <w:tc>
          <w:tcPr>
            <w:tcW w:type="dxa" w:w="1584"/>
            <w:vAlign w:val="center"/>
            <w:shd w:fill="F3F4F6"/>
          </w:tcPr>
          <w:p>
            <w:r/>
            <w:r>
              <w:rPr>
                <w:rFonts w:ascii="Aptos" w:hAnsi="Aptos"/>
                <w:b w:val="0"/>
                <w:sz w:val="16"/>
              </w:rPr>
              <w:t>$4.74M</w:t>
            </w:r>
          </w:p>
        </w:tc>
        <w:tc>
          <w:tcPr>
            <w:tcW w:type="dxa" w:w="1944"/>
            <w:vAlign w:val="center"/>
            <w:shd w:fill="F3F4F6"/>
          </w:tcPr>
          <w:p>
            <w:r/>
            <w:r>
              <w:rPr>
                <w:rFonts w:ascii="Aptos" w:hAnsi="Aptos"/>
                <w:b w:val="0"/>
                <w:sz w:val="16"/>
              </w:rPr>
              <w:t>$10.19M</w:t>
            </w:r>
          </w:p>
        </w:tc>
        <w:tc>
          <w:tcPr>
            <w:tcW w:type="dxa" w:w="1656"/>
            <w:vAlign w:val="center"/>
            <w:shd w:fill="F3F4F6"/>
          </w:tcPr>
          <w:p>
            <w:r/>
            <w:r>
              <w:rPr>
                <w:rFonts w:ascii="Aptos" w:hAnsi="Aptos"/>
                <w:b w:val="0"/>
                <w:sz w:val="16"/>
              </w:rPr>
              <w:t>$11.22M</w:t>
            </w:r>
          </w:p>
        </w:tc>
        <w:tc>
          <w:tcPr>
            <w:tcW w:type="dxa" w:w="1512"/>
            <w:vAlign w:val="center"/>
            <w:shd w:fill="F3F4F6"/>
          </w:tcPr>
          <w:p>
            <w:r/>
            <w:r>
              <w:rPr>
                <w:rFonts w:ascii="Aptos" w:hAnsi="Aptos"/>
                <w:b w:val="0"/>
                <w:sz w:val="16"/>
              </w:rPr>
              <w:t>~7.4 years</w:t>
            </w:r>
          </w:p>
        </w:tc>
      </w:tr>
      <w:tr>
        <w:tc>
          <w:tcPr>
            <w:tcW w:type="dxa" w:w="1872"/>
            <w:vAlign w:val="center"/>
          </w:tcPr>
          <w:p>
            <w:r/>
            <w:r>
              <w:rPr>
                <w:rFonts w:ascii="Aptos" w:hAnsi="Aptos"/>
                <w:b w:val="0"/>
                <w:sz w:val="16"/>
              </w:rPr>
              <w:t>Salt Lake City</w:t>
            </w:r>
          </w:p>
        </w:tc>
        <w:tc>
          <w:tcPr>
            <w:tcW w:type="dxa" w:w="1800"/>
            <w:vAlign w:val="center"/>
          </w:tcPr>
          <w:p>
            <w:r/>
            <w:r>
              <w:rPr>
                <w:rFonts w:ascii="Aptos" w:hAnsi="Aptos"/>
                <w:b w:val="0"/>
                <w:sz w:val="16"/>
              </w:rPr>
              <w:t>$5.82M</w:t>
            </w:r>
          </w:p>
        </w:tc>
        <w:tc>
          <w:tcPr>
            <w:tcW w:type="dxa" w:w="1584"/>
            <w:vAlign w:val="center"/>
          </w:tcPr>
          <w:p>
            <w:r/>
            <w:r>
              <w:rPr>
                <w:rFonts w:ascii="Aptos" w:hAnsi="Aptos"/>
                <w:b w:val="0"/>
                <w:sz w:val="16"/>
              </w:rPr>
              <w:t>$4.74M</w:t>
            </w:r>
          </w:p>
        </w:tc>
        <w:tc>
          <w:tcPr>
            <w:tcW w:type="dxa" w:w="1944"/>
            <w:vAlign w:val="center"/>
          </w:tcPr>
          <w:p>
            <w:r/>
            <w:r>
              <w:rPr>
                <w:rFonts w:ascii="Aptos" w:hAnsi="Aptos"/>
                <w:b w:val="0"/>
                <w:sz w:val="16"/>
              </w:rPr>
              <w:t>$9.70M</w:t>
            </w:r>
          </w:p>
        </w:tc>
        <w:tc>
          <w:tcPr>
            <w:tcW w:type="dxa" w:w="1656"/>
            <w:vAlign w:val="center"/>
          </w:tcPr>
          <w:p>
            <w:r/>
            <w:r>
              <w:rPr>
                <w:rFonts w:ascii="Aptos" w:hAnsi="Aptos"/>
                <w:b w:val="0"/>
                <w:sz w:val="16"/>
              </w:rPr>
              <w:t>$11.22M</w:t>
            </w:r>
          </w:p>
        </w:tc>
        <w:tc>
          <w:tcPr>
            <w:tcW w:type="dxa" w:w="1512"/>
            <w:vAlign w:val="center"/>
          </w:tcPr>
          <w:p>
            <w:r/>
            <w:r>
              <w:rPr>
                <w:rFonts w:ascii="Aptos" w:hAnsi="Aptos"/>
                <w:b w:val="0"/>
                <w:sz w:val="16"/>
              </w:rPr>
              <w:t>~6.5 years</w:t>
            </w:r>
          </w:p>
        </w:tc>
      </w:tr>
      <w:tr>
        <w:tc>
          <w:tcPr>
            <w:tcW w:type="dxa" w:w="1872"/>
            <w:vAlign w:val="center"/>
            <w:shd w:fill="F3F4F6"/>
          </w:tcPr>
          <w:p>
            <w:r/>
            <w:r>
              <w:rPr>
                <w:rFonts w:ascii="Aptos" w:hAnsi="Aptos"/>
                <w:b w:val="0"/>
                <w:sz w:val="16"/>
              </w:rPr>
              <w:t>Quincy / Central WA</w:t>
            </w:r>
          </w:p>
        </w:tc>
        <w:tc>
          <w:tcPr>
            <w:tcW w:type="dxa" w:w="1800"/>
            <w:vAlign w:val="center"/>
            <w:shd w:fill="F3F4F6"/>
          </w:tcPr>
          <w:p>
            <w:r/>
            <w:r>
              <w:rPr>
                <w:rFonts w:ascii="Aptos" w:hAnsi="Aptos"/>
                <w:b w:val="0"/>
                <w:sz w:val="16"/>
              </w:rPr>
              <w:t>$5.34M</w:t>
            </w:r>
          </w:p>
        </w:tc>
        <w:tc>
          <w:tcPr>
            <w:tcW w:type="dxa" w:w="1584"/>
            <w:vAlign w:val="center"/>
            <w:shd w:fill="F3F4F6"/>
          </w:tcPr>
          <w:p>
            <w:r/>
            <w:r>
              <w:rPr>
                <w:rFonts w:ascii="Aptos" w:hAnsi="Aptos"/>
                <w:b w:val="0"/>
                <w:sz w:val="16"/>
              </w:rPr>
              <w:t>$4.74M</w:t>
            </w:r>
          </w:p>
        </w:tc>
        <w:tc>
          <w:tcPr>
            <w:tcW w:type="dxa" w:w="1944"/>
            <w:vAlign w:val="center"/>
            <w:shd w:fill="F3F4F6"/>
          </w:tcPr>
          <w:p>
            <w:r/>
            <w:r>
              <w:rPr>
                <w:rFonts w:ascii="Aptos" w:hAnsi="Aptos"/>
                <w:b w:val="0"/>
                <w:sz w:val="16"/>
              </w:rPr>
              <w:t>$8.74M</w:t>
            </w:r>
          </w:p>
        </w:tc>
        <w:tc>
          <w:tcPr>
            <w:tcW w:type="dxa" w:w="1656"/>
            <w:vAlign w:val="center"/>
            <w:shd w:fill="F3F4F6"/>
          </w:tcPr>
          <w:p>
            <w:r/>
            <w:r>
              <w:rPr>
                <w:rFonts w:ascii="Aptos" w:hAnsi="Aptos"/>
                <w:b w:val="0"/>
                <w:sz w:val="16"/>
              </w:rPr>
              <w:t>$11.22M</w:t>
            </w:r>
          </w:p>
        </w:tc>
        <w:tc>
          <w:tcPr>
            <w:tcW w:type="dxa" w:w="1512"/>
            <w:vAlign w:val="center"/>
            <w:shd w:fill="F3F4F6"/>
          </w:tcPr>
          <w:p>
            <w:r/>
            <w:r>
              <w:rPr>
                <w:rFonts w:ascii="Aptos" w:hAnsi="Aptos"/>
                <w:b w:val="0"/>
                <w:sz w:val="16"/>
              </w:rPr>
              <w:t>~5.1 years</w:t>
            </w:r>
          </w:p>
        </w:tc>
      </w:tr>
    </w:tbl>
    <w:p>
      <w:pPr>
        <w:spacing w:after="20"/>
      </w:pPr>
    </w:p>
    <w:p>
      <w:r>
        <w:rPr>
          <w:b/>
        </w:rPr>
        <w:t xml:space="preserve">Interpretation. </w:t>
      </w:r>
      <w:r>
        <w:t>At 100 kW the owner-operated primary site is still more expensive than the base colocation case in every serious market. At 250 kW, owner-operation becomes cheaper in the base 10-year model everywhere except Sacramento, with Boise and Central Washington showing the fastest payback. Reno is not the absolute cheapest; it wins because its strategic/logistical advantages offset a moderate cost premium.</w:t>
      </w:r>
    </w:p>
    <w:p>
      <w:r>
        <w:rPr>
          <w:b/>
        </w:rPr>
        <w:t xml:space="preserve">Sensitivity matters enormously. </w:t>
      </w:r>
      <w:r>
        <w:t>For Reno at 100 kW, if secure colocation really prices near $300/kW-month, ownership may never beat it within a sensible horizon under the base staffing model. At $400/kW-month the approximate break-even falls toward ~18 years; at $500/kW-month it falls to roughly ~8 years. Therefore an actual Switch/Roller/private-suite quote is not merely procurement detail—it determines whether ownership is financially rational at 100 kW.</w:t>
      </w:r>
    </w:p>
    <w:p>
      <w:pPr>
        <w:pStyle w:val="Heading1"/>
      </w:pPr>
      <w:r>
        <w:t>Taxes and incentives: what actually applies</w:t>
      </w:r>
    </w:p>
    <w:p>
      <w:r>
        <w:t>The largest headline data-center incentives largely do not apply to an initial SABLE HARBOR micro-facility. Nevada’s direct data-center program requires $25M cumulative capital investment and 10 full-time Nevada employees for the 10-year tier.¹⁰ Idaho requires $250M and 30 jobs.¹¹ Washington’s current rural/urban data-center exemptions generally require a qualifying facility of at least 100,000 square feet.¹² These thresholds are designed for commercial/hyperscale facilities, not a 4,000–9,000 SF private institutional site.</w:t>
      </w:r>
    </w:p>
    <w:p>
      <w:r>
        <w:t>Nevada’s standard abatement program is more relevant but still not automatically available: urban projects generally require substantial job creation, while rural thresholds are lower; the February 2026 summary states no abatements are awarded below ten urban jobs or six rural jobs.¹³ A dedicated SABLE HARBOR site could eventually meet rural criteria if it becomes a broader enterprise infrastructure base, but the initial Alexandria facility should be modeled without incentives unless GOED provides written eligibility confirmation.</w:t>
      </w:r>
    </w:p>
    <w:p>
      <w:r>
        <w:t>Sacramento has a useful SMUD Economic Development Rate, but SMUD’s 2026 commercial guide states that the program requires maximum demand of at least 300 kW.¹⁴ That means it is irrelevant to the initial 25–100 kW phases and becomes relevant only around the 250–300 kW expansion threshold.</w:t>
      </w:r>
    </w:p>
    <w:p>
      <w:pPr>
        <w:pStyle w:val="Heading1"/>
      </w:pPr>
      <w:r>
        <w:t>Operating model and headcount</w:t>
      </w:r>
    </w:p>
    <w:p>
      <w:r>
        <w:t>Owning the facility is not equivalent to simply moving servers into a warehouse. The repository’s own staffing doctrine notes that a continuously occupied seat requires about 5.6 FTE before rounding.² The economic model therefore does not assume a permanent staffed security desk at a small site; instead it assumes incremental facilities engineering plus a fractional physical-security allocation, with remote monitoring and controlled emergency callout. If SABLE HARBOR requires a 24/7 manned physical post, the owner-operated model becomes materially more expensive at every sub-MW scale.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111827"/>
          </w:tcPr>
          <w:p>
            <w:r/>
            <w:r>
              <w:rPr>
                <w:rFonts w:ascii="Aptos" w:hAnsi="Aptos"/>
                <w:b/>
                <w:color w:val="FFFFFF"/>
                <w:sz w:val="16"/>
              </w:rPr>
              <w:t>Function</w:t>
            </w:r>
          </w:p>
        </w:tc>
        <w:tc>
          <w:tcPr>
            <w:tcW w:type="dxa" w:w="2448"/>
            <w:vAlign w:val="center"/>
            <w:shd w:fill="111827"/>
          </w:tcPr>
          <w:p>
            <w:r/>
            <w:r>
              <w:rPr>
                <w:rFonts w:ascii="Aptos" w:hAnsi="Aptos"/>
                <w:b/>
                <w:color w:val="FFFFFF"/>
                <w:sz w:val="16"/>
              </w:rPr>
              <w:t>25–50 kW</w:t>
            </w:r>
          </w:p>
        </w:tc>
        <w:tc>
          <w:tcPr>
            <w:tcW w:type="dxa" w:w="2448"/>
            <w:vAlign w:val="center"/>
            <w:shd w:fill="111827"/>
          </w:tcPr>
          <w:p>
            <w:r/>
            <w:r>
              <w:rPr>
                <w:rFonts w:ascii="Aptos" w:hAnsi="Aptos"/>
                <w:b/>
                <w:color w:val="FFFFFF"/>
                <w:sz w:val="16"/>
              </w:rPr>
              <w:t>100 kW</w:t>
            </w:r>
          </w:p>
        </w:tc>
        <w:tc>
          <w:tcPr>
            <w:tcW w:type="dxa" w:w="2448"/>
            <w:vAlign w:val="center"/>
            <w:shd w:fill="111827"/>
          </w:tcPr>
          <w:p>
            <w:r/>
            <w:r>
              <w:rPr>
                <w:rFonts w:ascii="Aptos" w:hAnsi="Aptos"/>
                <w:b/>
                <w:color w:val="FFFFFF"/>
                <w:sz w:val="16"/>
              </w:rPr>
              <w:t>250 kW</w:t>
            </w:r>
          </w:p>
        </w:tc>
      </w:tr>
      <w:tr>
        <w:tc>
          <w:tcPr>
            <w:tcW w:type="dxa" w:w="2448"/>
            <w:vAlign w:val="center"/>
          </w:tcPr>
          <w:p>
            <w:r/>
            <w:r>
              <w:rPr>
                <w:rFonts w:ascii="Aptos" w:hAnsi="Aptos"/>
                <w:b w:val="0"/>
                <w:sz w:val="16"/>
              </w:rPr>
              <w:t>Facilities operations</w:t>
            </w:r>
          </w:p>
        </w:tc>
        <w:tc>
          <w:tcPr>
            <w:tcW w:type="dxa" w:w="2448"/>
            <w:vAlign w:val="center"/>
          </w:tcPr>
          <w:p>
            <w:r/>
            <w:r>
              <w:rPr>
                <w:rFonts w:ascii="Aptos" w:hAnsi="Aptos"/>
                <w:b w:val="0"/>
                <w:sz w:val="16"/>
              </w:rPr>
              <w:t>~1.25–1.5 FTE + on-call</w:t>
            </w:r>
          </w:p>
        </w:tc>
        <w:tc>
          <w:tcPr>
            <w:tcW w:type="dxa" w:w="2448"/>
            <w:vAlign w:val="center"/>
          </w:tcPr>
          <w:p>
            <w:r/>
            <w:r>
              <w:rPr>
                <w:rFonts w:ascii="Aptos" w:hAnsi="Aptos"/>
                <w:b w:val="0"/>
                <w:sz w:val="16"/>
              </w:rPr>
              <w:t>~2 FTE</w:t>
            </w:r>
          </w:p>
        </w:tc>
        <w:tc>
          <w:tcPr>
            <w:tcW w:type="dxa" w:w="2448"/>
            <w:vAlign w:val="center"/>
          </w:tcPr>
          <w:p>
            <w:r/>
            <w:r>
              <w:rPr>
                <w:rFonts w:ascii="Aptos" w:hAnsi="Aptos"/>
                <w:b w:val="0"/>
                <w:sz w:val="16"/>
              </w:rPr>
              <w:t>~3 FTE</w:t>
            </w:r>
          </w:p>
        </w:tc>
      </w:tr>
      <w:tr>
        <w:tc>
          <w:tcPr>
            <w:tcW w:type="dxa" w:w="2448"/>
            <w:vAlign w:val="center"/>
            <w:shd w:fill="F3F4F6"/>
          </w:tcPr>
          <w:p>
            <w:r/>
            <w:r>
              <w:rPr>
                <w:rFonts w:ascii="Aptos" w:hAnsi="Aptos"/>
                <w:b w:val="0"/>
                <w:sz w:val="16"/>
              </w:rPr>
              <w:t>Physical security increment</w:t>
            </w:r>
          </w:p>
        </w:tc>
        <w:tc>
          <w:tcPr>
            <w:tcW w:type="dxa" w:w="2448"/>
            <w:vAlign w:val="center"/>
            <w:shd w:fill="F3F4F6"/>
          </w:tcPr>
          <w:p>
            <w:r/>
            <w:r>
              <w:rPr>
                <w:rFonts w:ascii="Aptos" w:hAnsi="Aptos"/>
                <w:b w:val="0"/>
                <w:sz w:val="16"/>
              </w:rPr>
              <w:t>~0.25–0.35 FTE equivalent</w:t>
            </w:r>
          </w:p>
        </w:tc>
        <w:tc>
          <w:tcPr>
            <w:tcW w:type="dxa" w:w="2448"/>
            <w:vAlign w:val="center"/>
            <w:shd w:fill="F3F4F6"/>
          </w:tcPr>
          <w:p>
            <w:r/>
            <w:r>
              <w:rPr>
                <w:rFonts w:ascii="Aptos" w:hAnsi="Aptos"/>
                <w:b w:val="0"/>
                <w:sz w:val="16"/>
              </w:rPr>
              <w:t>~0.5 FTE</w:t>
            </w:r>
          </w:p>
        </w:tc>
        <w:tc>
          <w:tcPr>
            <w:tcW w:type="dxa" w:w="2448"/>
            <w:vAlign w:val="center"/>
            <w:shd w:fill="F3F4F6"/>
          </w:tcPr>
          <w:p>
            <w:r/>
            <w:r>
              <w:rPr>
                <w:rFonts w:ascii="Aptos" w:hAnsi="Aptos"/>
                <w:b w:val="0"/>
                <w:sz w:val="16"/>
              </w:rPr>
              <w:t>~0.75 FTE</w:t>
            </w:r>
          </w:p>
        </w:tc>
      </w:tr>
      <w:tr>
        <w:tc>
          <w:tcPr>
            <w:tcW w:type="dxa" w:w="2448"/>
            <w:vAlign w:val="center"/>
          </w:tcPr>
          <w:p>
            <w:r/>
            <w:r>
              <w:rPr>
                <w:rFonts w:ascii="Aptos" w:hAnsi="Aptos"/>
                <w:b w:val="0"/>
                <w:sz w:val="16"/>
              </w:rPr>
              <w:t>Network/platform/SRE</w:t>
            </w:r>
          </w:p>
        </w:tc>
        <w:tc>
          <w:tcPr>
            <w:tcW w:type="dxa" w:w="2448"/>
            <w:vAlign w:val="center"/>
          </w:tcPr>
          <w:p>
            <w:r/>
            <w:r>
              <w:rPr>
                <w:rFonts w:ascii="Aptos" w:hAnsi="Aptos"/>
                <w:b w:val="0"/>
                <w:sz w:val="16"/>
              </w:rPr>
              <w:t>Existing enterprise technical pools; workload staff not duplicated solely because building is owned.</w:t>
            </w:r>
          </w:p>
        </w:tc>
        <w:tc>
          <w:tcPr>
            <w:tcW w:type="dxa" w:w="2448"/>
            <w:vAlign w:val="center"/>
          </w:tcPr>
          <w:p>
            <w:r/>
            <w:r>
              <w:rPr>
                <w:rFonts w:ascii="Aptos" w:hAnsi="Aptos"/>
                <w:b w:val="0"/>
                <w:sz w:val="16"/>
              </w:rPr>
              <w:t>Same</w:t>
            </w:r>
          </w:p>
        </w:tc>
        <w:tc>
          <w:tcPr>
            <w:tcW w:type="dxa" w:w="2448"/>
            <w:vAlign w:val="center"/>
          </w:tcPr>
          <w:p>
            <w:r/>
            <w:r>
              <w:rPr>
                <w:rFonts w:ascii="Aptos" w:hAnsi="Aptos"/>
                <w:b w:val="0"/>
                <w:sz w:val="16"/>
              </w:rPr>
              <w:t>Same plus growth</w:t>
            </w:r>
          </w:p>
        </w:tc>
      </w:tr>
      <w:tr>
        <w:tc>
          <w:tcPr>
            <w:tcW w:type="dxa" w:w="2448"/>
            <w:vAlign w:val="center"/>
            <w:shd w:fill="F3F4F6"/>
          </w:tcPr>
          <w:p>
            <w:r/>
            <w:r>
              <w:rPr>
                <w:rFonts w:ascii="Aptos" w:hAnsi="Aptos"/>
                <w:b w:val="0"/>
                <w:sz w:val="16"/>
              </w:rPr>
              <w:t>Specialist maintenance</w:t>
            </w:r>
          </w:p>
        </w:tc>
        <w:tc>
          <w:tcPr>
            <w:tcW w:type="dxa" w:w="2448"/>
            <w:vAlign w:val="center"/>
            <w:shd w:fill="F3F4F6"/>
          </w:tcPr>
          <w:p>
            <w:r/>
            <w:r>
              <w:rPr>
                <w:rFonts w:ascii="Aptos" w:hAnsi="Aptos"/>
                <w:b w:val="0"/>
                <w:sz w:val="16"/>
              </w:rPr>
              <w:t>OEM/qualified electrical, generator, UPS, fire, HVAC contractors remain necessary.</w:t>
            </w:r>
          </w:p>
        </w:tc>
        <w:tc>
          <w:tcPr>
            <w:tcW w:type="dxa" w:w="2448"/>
            <w:vAlign w:val="center"/>
            <w:shd w:fill="F3F4F6"/>
          </w:tcPr>
          <w:p>
            <w:r/>
            <w:r>
              <w:rPr>
                <w:rFonts w:ascii="Aptos" w:hAnsi="Aptos"/>
                <w:b w:val="0"/>
                <w:sz w:val="16"/>
              </w:rPr>
              <w:t>Same</w:t>
            </w:r>
          </w:p>
        </w:tc>
        <w:tc>
          <w:tcPr>
            <w:tcW w:type="dxa" w:w="2448"/>
            <w:vAlign w:val="center"/>
            <w:shd w:fill="F3F4F6"/>
          </w:tcPr>
          <w:p>
            <w:r/>
            <w:r>
              <w:rPr>
                <w:rFonts w:ascii="Aptos" w:hAnsi="Aptos"/>
                <w:b w:val="0"/>
                <w:sz w:val="16"/>
              </w:rPr>
              <w:t>Broader contracts/spares inventory</w:t>
            </w:r>
          </w:p>
        </w:tc>
      </w:tr>
    </w:tbl>
    <w:p>
      <w:pPr>
        <w:spacing w:after="20"/>
      </w:pPr>
    </w:p>
    <w:p>
      <w:pPr>
        <w:ind w:left="288" w:right="288"/>
      </w:pPr>
      <w:r>
        <w:rPr>
          <w:i/>
          <w:color w:val="4B5563"/>
          <w:sz w:val="17"/>
        </w:rPr>
        <w:t>“Cutting out third-party providers” can eliminate a colocation operator, but it cannot responsibly eliminate utilities, telecom carriers, generator/UPS/HVAC OEM support, fire inspection, insurance, licensed electricians, and other specialist dependencies.</w:t>
      </w:r>
    </w:p>
    <w:p>
      <w:pPr>
        <w:pStyle w:val="Heading1"/>
      </w:pPr>
      <w:r>
        <w:t>Common Controls Framework consequences</w:t>
      </w:r>
    </w:p>
    <w:p>
      <w:r>
        <w:t>Owner-operation reduces one major inherited-control relationship but increases the number of directly operated common controls. This is not inherently bad. For Alexandria, direct control may be preferable because the system is explicitly treated as crown-jewel institutional infrastructure. The CCF becomes cleaner in authority terms but broader in facilities engineering.</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11827"/>
          </w:tcPr>
          <w:p>
            <w:r/>
            <w:r>
              <w:rPr>
                <w:rFonts w:ascii="Aptos" w:hAnsi="Aptos"/>
                <w:b/>
                <w:color w:val="FFFFFF"/>
                <w:sz w:val="16"/>
              </w:rPr>
              <w:t>Control area</w:t>
            </w:r>
          </w:p>
        </w:tc>
        <w:tc>
          <w:tcPr>
            <w:tcW w:type="dxa" w:w="3744"/>
            <w:vAlign w:val="center"/>
            <w:shd w:fill="111827"/>
          </w:tcPr>
          <w:p>
            <w:r/>
            <w:r>
              <w:rPr>
                <w:rFonts w:ascii="Aptos" w:hAnsi="Aptos"/>
                <w:b/>
                <w:color w:val="FFFFFF"/>
                <w:sz w:val="16"/>
              </w:rPr>
              <w:t>Colocation model</w:t>
            </w:r>
          </w:p>
        </w:tc>
        <w:tc>
          <w:tcPr>
            <w:tcW w:type="dxa" w:w="3888"/>
            <w:vAlign w:val="center"/>
            <w:shd w:fill="111827"/>
          </w:tcPr>
          <w:p>
            <w:r/>
            <w:r>
              <w:rPr>
                <w:rFonts w:ascii="Aptos" w:hAnsi="Aptos"/>
                <w:b/>
                <w:color w:val="FFFFFF"/>
                <w:sz w:val="16"/>
              </w:rPr>
              <w:t>Owned-facility model</w:t>
            </w:r>
          </w:p>
        </w:tc>
      </w:tr>
      <w:tr>
        <w:tc>
          <w:tcPr>
            <w:tcW w:type="dxa" w:w="2304"/>
            <w:vAlign w:val="center"/>
          </w:tcPr>
          <w:p>
            <w:r/>
            <w:r>
              <w:rPr>
                <w:rFonts w:ascii="Aptos" w:hAnsi="Aptos"/>
                <w:b w:val="0"/>
                <w:sz w:val="16"/>
              </w:rPr>
              <w:t>Physical perimeter</w:t>
            </w:r>
          </w:p>
        </w:tc>
        <w:tc>
          <w:tcPr>
            <w:tcW w:type="dxa" w:w="3744"/>
            <w:vAlign w:val="center"/>
          </w:tcPr>
          <w:p>
            <w:r/>
            <w:r>
              <w:rPr>
                <w:rFonts w:ascii="Aptos" w:hAnsi="Aptos"/>
                <w:b w:val="0"/>
                <w:sz w:val="16"/>
              </w:rPr>
              <w:t>Provider control + SABLE cage controls</w:t>
            </w:r>
          </w:p>
        </w:tc>
        <w:tc>
          <w:tcPr>
            <w:tcW w:type="dxa" w:w="3888"/>
            <w:vAlign w:val="center"/>
          </w:tcPr>
          <w:p>
            <w:r/>
            <w:r>
              <w:rPr>
                <w:rFonts w:ascii="Aptos" w:hAnsi="Aptos"/>
                <w:b w:val="0"/>
                <w:sz w:val="16"/>
              </w:rPr>
              <w:t>SABLE HARBOR direct control</w:t>
            </w:r>
          </w:p>
        </w:tc>
      </w:tr>
      <w:tr>
        <w:tc>
          <w:tcPr>
            <w:tcW w:type="dxa" w:w="2304"/>
            <w:vAlign w:val="center"/>
            <w:shd w:fill="F3F4F6"/>
          </w:tcPr>
          <w:p>
            <w:r/>
            <w:r>
              <w:rPr>
                <w:rFonts w:ascii="Aptos" w:hAnsi="Aptos"/>
                <w:b w:val="0"/>
                <w:sz w:val="16"/>
              </w:rPr>
              <w:t>Utility/UPS/generator</w:t>
            </w:r>
          </w:p>
        </w:tc>
        <w:tc>
          <w:tcPr>
            <w:tcW w:type="dxa" w:w="3744"/>
            <w:vAlign w:val="center"/>
            <w:shd w:fill="F3F4F6"/>
          </w:tcPr>
          <w:p>
            <w:r/>
            <w:r>
              <w:rPr>
                <w:rFonts w:ascii="Aptos" w:hAnsi="Aptos"/>
                <w:b w:val="0"/>
                <w:sz w:val="16"/>
              </w:rPr>
              <w:t>Inherited/provider evidence</w:t>
            </w:r>
          </w:p>
        </w:tc>
        <w:tc>
          <w:tcPr>
            <w:tcW w:type="dxa" w:w="3888"/>
            <w:vAlign w:val="center"/>
            <w:shd w:fill="F3F4F6"/>
          </w:tcPr>
          <w:p>
            <w:r/>
            <w:r>
              <w:rPr>
                <w:rFonts w:ascii="Aptos" w:hAnsi="Aptos"/>
                <w:b w:val="0"/>
                <w:sz w:val="16"/>
              </w:rPr>
              <w:t>SABLE testing, maintenance, fuel, change and evidence</w:t>
            </w:r>
          </w:p>
        </w:tc>
      </w:tr>
      <w:tr>
        <w:tc>
          <w:tcPr>
            <w:tcW w:type="dxa" w:w="2304"/>
            <w:vAlign w:val="center"/>
          </w:tcPr>
          <w:p>
            <w:r/>
            <w:r>
              <w:rPr>
                <w:rFonts w:ascii="Aptos" w:hAnsi="Aptos"/>
                <w:b w:val="0"/>
                <w:sz w:val="16"/>
              </w:rPr>
              <w:t>Cooling/environment</w:t>
            </w:r>
          </w:p>
        </w:tc>
        <w:tc>
          <w:tcPr>
            <w:tcW w:type="dxa" w:w="3744"/>
            <w:vAlign w:val="center"/>
          </w:tcPr>
          <w:p>
            <w:r/>
            <w:r>
              <w:rPr>
                <w:rFonts w:ascii="Aptos" w:hAnsi="Aptos"/>
                <w:b w:val="0"/>
                <w:sz w:val="16"/>
              </w:rPr>
              <w:t>Inherited/provider evidence</w:t>
            </w:r>
          </w:p>
        </w:tc>
        <w:tc>
          <w:tcPr>
            <w:tcW w:type="dxa" w:w="3888"/>
            <w:vAlign w:val="center"/>
          </w:tcPr>
          <w:p>
            <w:r/>
            <w:r>
              <w:rPr>
                <w:rFonts w:ascii="Aptos" w:hAnsi="Aptos"/>
                <w:b w:val="0"/>
                <w:sz w:val="16"/>
              </w:rPr>
              <w:t>SABLE direct operational control</w:t>
            </w:r>
          </w:p>
        </w:tc>
      </w:tr>
      <w:tr>
        <w:tc>
          <w:tcPr>
            <w:tcW w:type="dxa" w:w="2304"/>
            <w:vAlign w:val="center"/>
            <w:shd w:fill="F3F4F6"/>
          </w:tcPr>
          <w:p>
            <w:r/>
            <w:r>
              <w:rPr>
                <w:rFonts w:ascii="Aptos" w:hAnsi="Aptos"/>
                <w:b w:val="0"/>
                <w:sz w:val="16"/>
              </w:rPr>
              <w:t>Fire suppression</w:t>
            </w:r>
          </w:p>
        </w:tc>
        <w:tc>
          <w:tcPr>
            <w:tcW w:type="dxa" w:w="3744"/>
            <w:vAlign w:val="center"/>
            <w:shd w:fill="F3F4F6"/>
          </w:tcPr>
          <w:p>
            <w:r/>
            <w:r>
              <w:rPr>
                <w:rFonts w:ascii="Aptos" w:hAnsi="Aptos"/>
                <w:b w:val="0"/>
                <w:sz w:val="16"/>
              </w:rPr>
              <w:t>Provider evidence</w:t>
            </w:r>
          </w:p>
        </w:tc>
        <w:tc>
          <w:tcPr>
            <w:tcW w:type="dxa" w:w="3888"/>
            <w:vAlign w:val="center"/>
            <w:shd w:fill="F3F4F6"/>
          </w:tcPr>
          <w:p>
            <w:r/>
            <w:r>
              <w:rPr>
                <w:rFonts w:ascii="Aptos" w:hAnsi="Aptos"/>
                <w:b w:val="0"/>
                <w:sz w:val="16"/>
              </w:rPr>
              <w:t>SABLE inspection/test/maintenance control</w:t>
            </w:r>
          </w:p>
        </w:tc>
      </w:tr>
      <w:tr>
        <w:tc>
          <w:tcPr>
            <w:tcW w:type="dxa" w:w="2304"/>
            <w:vAlign w:val="center"/>
          </w:tcPr>
          <w:p>
            <w:r/>
            <w:r>
              <w:rPr>
                <w:rFonts w:ascii="Aptos" w:hAnsi="Aptos"/>
                <w:b w:val="0"/>
                <w:sz w:val="16"/>
              </w:rPr>
              <w:t>Carrier entrances</w:t>
            </w:r>
          </w:p>
        </w:tc>
        <w:tc>
          <w:tcPr>
            <w:tcW w:type="dxa" w:w="3744"/>
            <w:vAlign w:val="center"/>
          </w:tcPr>
          <w:p>
            <w:r/>
            <w:r>
              <w:rPr>
                <w:rFonts w:ascii="Aptos" w:hAnsi="Aptos"/>
                <w:b w:val="0"/>
                <w:sz w:val="16"/>
              </w:rPr>
              <w:t>Provider + customer circuits</w:t>
            </w:r>
          </w:p>
        </w:tc>
        <w:tc>
          <w:tcPr>
            <w:tcW w:type="dxa" w:w="3888"/>
            <w:vAlign w:val="center"/>
          </w:tcPr>
          <w:p>
            <w:r/>
            <w:r>
              <w:rPr>
                <w:rFonts w:ascii="Aptos" w:hAnsi="Aptos"/>
                <w:b w:val="0"/>
                <w:sz w:val="16"/>
              </w:rPr>
              <w:t>SABLE site engineering + carrier contracts</w:t>
            </w:r>
          </w:p>
        </w:tc>
      </w:tr>
      <w:tr>
        <w:tc>
          <w:tcPr>
            <w:tcW w:type="dxa" w:w="2304"/>
            <w:vAlign w:val="center"/>
            <w:shd w:fill="F3F4F6"/>
          </w:tcPr>
          <w:p>
            <w:r/>
            <w:r>
              <w:rPr>
                <w:rFonts w:ascii="Aptos" w:hAnsi="Aptos"/>
                <w:b w:val="0"/>
                <w:sz w:val="16"/>
              </w:rPr>
              <w:t>Access logging/video</w:t>
            </w:r>
          </w:p>
        </w:tc>
        <w:tc>
          <w:tcPr>
            <w:tcW w:type="dxa" w:w="3744"/>
            <w:vAlign w:val="center"/>
            <w:shd w:fill="F3F4F6"/>
          </w:tcPr>
          <w:p>
            <w:r/>
            <w:r>
              <w:rPr>
                <w:rFonts w:ascii="Aptos" w:hAnsi="Aptos"/>
                <w:b w:val="0"/>
                <w:sz w:val="16"/>
              </w:rPr>
              <w:t>Provider + cage logs</w:t>
            </w:r>
          </w:p>
        </w:tc>
        <w:tc>
          <w:tcPr>
            <w:tcW w:type="dxa" w:w="3888"/>
            <w:vAlign w:val="center"/>
            <w:shd w:fill="F3F4F6"/>
          </w:tcPr>
          <w:p>
            <w:r/>
            <w:r>
              <w:rPr>
                <w:rFonts w:ascii="Aptos" w:hAnsi="Aptos"/>
                <w:b w:val="0"/>
                <w:sz w:val="16"/>
              </w:rPr>
              <w:t>SABLE authoritative physical-access system</w:t>
            </w:r>
          </w:p>
        </w:tc>
      </w:tr>
      <w:tr>
        <w:tc>
          <w:tcPr>
            <w:tcW w:type="dxa" w:w="2304"/>
            <w:vAlign w:val="center"/>
          </w:tcPr>
          <w:p>
            <w:r/>
            <w:r>
              <w:rPr>
                <w:rFonts w:ascii="Aptos" w:hAnsi="Aptos"/>
                <w:b w:val="0"/>
                <w:sz w:val="16"/>
              </w:rPr>
              <w:t>Facilities incident response</w:t>
            </w:r>
          </w:p>
        </w:tc>
        <w:tc>
          <w:tcPr>
            <w:tcW w:type="dxa" w:w="3744"/>
            <w:vAlign w:val="center"/>
          </w:tcPr>
          <w:p>
            <w:r/>
            <w:r>
              <w:rPr>
                <w:rFonts w:ascii="Aptos" w:hAnsi="Aptos"/>
                <w:b w:val="0"/>
                <w:sz w:val="16"/>
              </w:rPr>
              <w:t>Provider SLA + SABLE escalation</w:t>
            </w:r>
          </w:p>
        </w:tc>
        <w:tc>
          <w:tcPr>
            <w:tcW w:type="dxa" w:w="3888"/>
            <w:vAlign w:val="center"/>
          </w:tcPr>
          <w:p>
            <w:r/>
            <w:r>
              <w:rPr>
                <w:rFonts w:ascii="Aptos" w:hAnsi="Aptos"/>
                <w:b w:val="0"/>
                <w:sz w:val="16"/>
              </w:rPr>
              <w:t>SABLE direct duty/on-call/incident command</w:t>
            </w:r>
          </w:p>
        </w:tc>
      </w:tr>
      <w:tr>
        <w:tc>
          <w:tcPr>
            <w:tcW w:type="dxa" w:w="2304"/>
            <w:vAlign w:val="center"/>
            <w:shd w:fill="F3F4F6"/>
          </w:tcPr>
          <w:p>
            <w:r/>
            <w:r>
              <w:rPr>
                <w:rFonts w:ascii="Aptos" w:hAnsi="Aptos"/>
                <w:b w:val="0"/>
                <w:sz w:val="16"/>
              </w:rPr>
              <w:t>Vendor concentration</w:t>
            </w:r>
          </w:p>
        </w:tc>
        <w:tc>
          <w:tcPr>
            <w:tcW w:type="dxa" w:w="3744"/>
            <w:vAlign w:val="center"/>
            <w:shd w:fill="F3F4F6"/>
          </w:tcPr>
          <w:p>
            <w:r/>
            <w:r>
              <w:rPr>
                <w:rFonts w:ascii="Aptos" w:hAnsi="Aptos"/>
                <w:b w:val="0"/>
                <w:sz w:val="16"/>
              </w:rPr>
              <w:t>Large dependency on colo operator</w:t>
            </w:r>
          </w:p>
        </w:tc>
        <w:tc>
          <w:tcPr>
            <w:tcW w:type="dxa" w:w="3888"/>
            <w:vAlign w:val="center"/>
            <w:shd w:fill="F3F4F6"/>
          </w:tcPr>
          <w:p>
            <w:r/>
            <w:r>
              <w:rPr>
                <w:rFonts w:ascii="Aptos" w:hAnsi="Aptos"/>
                <w:b w:val="0"/>
                <w:sz w:val="16"/>
              </w:rPr>
              <w:t>More small specialist vendors, less single-provider control-plane risk</w:t>
            </w:r>
          </w:p>
        </w:tc>
      </w:tr>
      <w:tr>
        <w:tc>
          <w:tcPr>
            <w:tcW w:type="dxa" w:w="2304"/>
            <w:vAlign w:val="center"/>
          </w:tcPr>
          <w:p>
            <w:r/>
            <w:r>
              <w:rPr>
                <w:rFonts w:ascii="Aptos" w:hAnsi="Aptos"/>
                <w:b w:val="0"/>
                <w:sz w:val="16"/>
              </w:rPr>
              <w:t>Evidence ownership</w:t>
            </w:r>
          </w:p>
        </w:tc>
        <w:tc>
          <w:tcPr>
            <w:tcW w:type="dxa" w:w="3744"/>
            <w:vAlign w:val="center"/>
          </w:tcPr>
          <w:p>
            <w:r/>
            <w:r>
              <w:rPr>
                <w:rFonts w:ascii="Aptos" w:hAnsi="Aptos"/>
                <w:b w:val="0"/>
                <w:sz w:val="16"/>
              </w:rPr>
              <w:t>Some evidence requested from provider</w:t>
            </w:r>
          </w:p>
        </w:tc>
        <w:tc>
          <w:tcPr>
            <w:tcW w:type="dxa" w:w="3888"/>
            <w:vAlign w:val="center"/>
          </w:tcPr>
          <w:p>
            <w:r/>
            <w:r>
              <w:rPr>
                <w:rFonts w:ascii="Aptos" w:hAnsi="Aptos"/>
                <w:b w:val="0"/>
                <w:sz w:val="16"/>
              </w:rPr>
              <w:t>Much more evidence native to SABLE systems</w:t>
            </w:r>
          </w:p>
        </w:tc>
      </w:tr>
      <w:tr>
        <w:tc>
          <w:tcPr>
            <w:tcW w:type="dxa" w:w="2304"/>
            <w:vAlign w:val="center"/>
            <w:shd w:fill="F3F4F6"/>
          </w:tcPr>
          <w:p>
            <w:r/>
            <w:r>
              <w:rPr>
                <w:rFonts w:ascii="Aptos" w:hAnsi="Aptos"/>
                <w:b w:val="0"/>
                <w:sz w:val="16"/>
              </w:rPr>
              <w:t>Exit risk</w:t>
            </w:r>
          </w:p>
        </w:tc>
        <w:tc>
          <w:tcPr>
            <w:tcW w:type="dxa" w:w="3744"/>
            <w:vAlign w:val="center"/>
            <w:shd w:fill="F3F4F6"/>
          </w:tcPr>
          <w:p>
            <w:r/>
            <w:r>
              <w:rPr>
                <w:rFonts w:ascii="Aptos" w:hAnsi="Aptos"/>
                <w:b w:val="0"/>
                <w:sz w:val="16"/>
              </w:rPr>
              <w:t>Contract/egress/equipment removal</w:t>
            </w:r>
          </w:p>
        </w:tc>
        <w:tc>
          <w:tcPr>
            <w:tcW w:type="dxa" w:w="3888"/>
            <w:vAlign w:val="center"/>
            <w:shd w:fill="F3F4F6"/>
          </w:tcPr>
          <w:p>
            <w:r/>
            <w:r>
              <w:rPr>
                <w:rFonts w:ascii="Aptos" w:hAnsi="Aptos"/>
                <w:b w:val="0"/>
                <w:sz w:val="16"/>
              </w:rPr>
              <w:t>Real-estate and equipment lifecycle instead of provider exit</w:t>
            </w:r>
          </w:p>
        </w:tc>
      </w:tr>
    </w:tbl>
    <w:p>
      <w:pPr>
        <w:spacing w:after="20"/>
      </w:pPr>
    </w:p>
    <w:p>
      <w:pPr>
        <w:pStyle w:val="Heading1"/>
      </w:pPr>
      <w:r>
        <w:t>Recommended ownership strategy</w:t>
      </w:r>
    </w:p>
    <w:p>
      <w:r>
        <w:rPr>
          <w:b/>
        </w:rPr>
        <w:t xml:space="preserve">1. Keep Northern Nevada as the preferred primary geography. </w:t>
      </w:r>
      <w:r>
        <w:t>The research does not overturn the location decision. Reno/Storey is not cheapest, but it is close enough economically while dramatically simplifying Sacramento access and preserving a large local data-center/industrial ecosystem.</w:t>
      </w:r>
    </w:p>
    <w:p>
      <w:r>
        <w:rPr>
          <w:b/>
        </w:rPr>
        <w:t xml:space="preserve">2. Do not construct a greenfield data center first. </w:t>
      </w:r>
      <w:r>
        <w:t>Issue a search mandate for 5,000–10,000 SF industrial/flex buildings in Reno/Sparks/Storey/Fernley with 480V three-phase service, realistic expansion to ≥250 kW utility delivery, two feasible fiber paths, low hazard exposure, generator yard rights, no problematic landlord restrictions, and the ability to harden the shell.</w:t>
      </w:r>
    </w:p>
    <w:p>
      <w:r>
        <w:rPr>
          <w:b/>
        </w:rPr>
        <w:t xml:space="preserve">3. Price three owner-operated designs in parallel. </w:t>
      </w:r>
      <w:r>
        <w:t>(a) purchased-building conversion, (b) leased-building conversion, and (c) 100–200 kW prefabricated module on purchased industrial land/building. Do not ask contractors for a generic “data center”; issue the same performance specification to every bidder.</w:t>
      </w:r>
    </w:p>
    <w:p>
      <w:r>
        <w:rPr>
          <w:b/>
        </w:rPr>
        <w:t xml:space="preserve">4. Continue the colocation RFP simultaneously. </w:t>
      </w:r>
      <w:r>
        <w:t>Actual Switch/Roller/Flexential/DataBank quotes are required as the market alternative. If secure Reno colocation comes in below roughly $350/kW-month at our scale, owning the facility at 100 kW is difficult to justify economically. If pricing approaches $500/kW-month, ownership becomes much more attractive.</w:t>
      </w:r>
    </w:p>
    <w:p>
      <w:r>
        <w:rPr>
          <w:b/>
        </w:rPr>
        <w:t xml:space="preserve">5. Establish a formal ownership trigger. </w:t>
      </w:r>
      <w:r>
        <w:t>The model supports treating ~250 kW sustained critical IT demand, or a secure-colo quote above the sensitivity threshold, as the point at which owned real estate and facilities should become the default economic assumption rather than a strategic premium.</w:t>
      </w:r>
    </w:p>
    <w:p>
      <w:r>
        <w:rPr>
          <w:b/>
        </w:rPr>
        <w:t xml:space="preserve">6. Keep recovery geographically independent. </w:t>
      </w:r>
      <w:r>
        <w:t>An owned Northern Nevada primary does not imply an owned Nevada DR site on day one. Boise remains a strong diversity option; a second owned facility should follow only after actual replication, recovery and staffing requirements are demonstrated.</w:t>
      </w:r>
    </w:p>
    <w:p>
      <w:pPr>
        <w:pStyle w:val="Heading1"/>
      </w:pPr>
      <w:r>
        <w:t>Diligence gates before committing capital</w:t>
      </w:r>
    </w:p>
    <w:p>
      <w:pPr>
        <w:pStyle w:val="ListBullet"/>
      </w:pPr>
      <w:r>
        <w:t>Parcel/building shortlist with zoning, flood/wildfire/seismic screen, title/lease restrictions and generator/noise/emissions constraints.</w:t>
      </w:r>
    </w:p>
    <w:p>
      <w:pPr>
        <w:pStyle w:val="ListBullet"/>
      </w:pPr>
      <w:r>
        <w:t>Utility will-serve letter stating existing service, transformer/substation work, available kW/kVA, fault current, upgrade cost and delivery schedule.</w:t>
      </w:r>
    </w:p>
    <w:p>
      <w:pPr>
        <w:pStyle w:val="ListBullet"/>
      </w:pPr>
      <w:r>
        <w:t>Two carrier route studies showing physically diverse entrances and upstream paths; not merely two retail providers on common conduit.</w:t>
      </w:r>
    </w:p>
    <w:p>
      <w:pPr>
        <w:pStyle w:val="ListBullet"/>
      </w:pPr>
      <w:r>
        <w:t>30% electrical/mechanical design with one-line diagram, UPS/generator topology, cooling method, fire system, security zoning and expansion path.</w:t>
      </w:r>
    </w:p>
    <w:p>
      <w:pPr>
        <w:pStyle w:val="ListBullet"/>
      </w:pPr>
      <w:r>
        <w:t>Contractor estimate with switchgear/transformer lead times and commissioning plan.</w:t>
      </w:r>
    </w:p>
    <w:p>
      <w:pPr>
        <w:pStyle w:val="ListBullet"/>
      </w:pPr>
      <w:r>
        <w:t>Insurance indication for property, equipment, business interruption, cyber/technology E&amp;O and catastrophe exclusions.</w:t>
      </w:r>
    </w:p>
    <w:p>
      <w:pPr>
        <w:pStyle w:val="ListBullet"/>
      </w:pPr>
      <w:r>
        <w:t>GOED/Idaho/other written incentive determination rather than assuming headline data-center programs apply.</w:t>
      </w:r>
    </w:p>
    <w:p>
      <w:pPr>
        <w:pStyle w:val="ListBullet"/>
      </w:pPr>
      <w:r>
        <w:t>Operating staffing plan identifying existing reusable Technology/Security capacity versus new FTE.</w:t>
      </w:r>
    </w:p>
    <w:p>
      <w:pPr>
        <w:pStyle w:val="ListBullet"/>
      </w:pPr>
      <w:r>
        <w:t>Five-year and fifteen-year financial bridge against actual colo quotes, including residual property value and cost of capital.</w:t>
      </w:r>
    </w:p>
    <w:p>
      <w:pPr>
        <w:pStyle w:val="ListBullet"/>
      </w:pPr>
      <w:r>
        <w:t>Recovery test plan that does not depend on the primary site’s identity, KMS, DNS, carrier or physical staff.</w:t>
      </w:r>
    </w:p>
    <w:p>
      <w:pPr>
        <w:pStyle w:val="Heading1"/>
      </w:pPr>
      <w:r>
        <w:t>Decision framing</w:t>
      </w:r>
    </w:p>
    <w:p>
      <w:r>
        <w:t>The long-run instinct behind full ownership is economically defensible, but timing matters. Building too early would exchange a third-party concentration problem for a fixed-cost facilities problem. The preferred path is staged sovereignty: own the hardware and cryptographic/administrative boundary immediately; secure the option and engineering path to an owned Northern Nevada facility; acquire/convert the facility when actual load reaches the range where ownership economics begin to dominate.</w:t>
      </w:r>
    </w:p>
    <w:p>
      <w:r>
        <w:t>On the present evidence, the practical decision rule is:</w:t>
      </w:r>
    </w:p>
    <w:p>
      <w:pPr>
        <w:pStyle w:val="ListBullet"/>
      </w:pPr>
      <w:r>
        <w:t>Below ~100 kW: colocation is likely cheaper unless provider pricing is unusually high or institutional-control value justifies a premium.</w:t>
      </w:r>
    </w:p>
    <w:p>
      <w:pPr>
        <w:pStyle w:val="ListBullet"/>
      </w:pPr>
      <w:r>
        <w:t>~100–200 kW: run both cases with actual quotes; ownership can win if colo is expensive, building acquisition is favorable, and staffing can be shared efficiently.</w:t>
      </w:r>
    </w:p>
    <w:p>
      <w:pPr>
        <w:pStyle w:val="ListBullet"/>
      </w:pPr>
      <w:r>
        <w:t>~250 kW and above: owner-operated conversion becomes economically compelling in Reno, Boise, Salt Lake and similar markets in the base model.</w:t>
      </w:r>
    </w:p>
    <w:p>
      <w:pPr>
        <w:pStyle w:val="ListBullet"/>
      </w:pPr>
      <w:r>
        <w:t>Greenfield purpose-built campus: defer until sustained utilization, second-site strategy and five-year expansion demonstrate that a converted/modular facility is no longer sufficient.</w:t>
      </w:r>
    </w:p>
    <w:p>
      <w:pPr>
        <w:pStyle w:val="Heading1"/>
      </w:pPr>
      <w:r>
        <w:t>Limitations</w:t>
      </w:r>
    </w:p>
    <w:p>
      <w:r>
        <w:t>This is a feasibility study, not a stamped engineering design, appraisal, tax opinion or construction bid. Purchase-price inputs outside observed Reno/Sacramento transactions are planning estimates. Utility blended rates simplify demand/adjustment mechanics. Incentive eligibility requires agency determination. No parcel has been selected, and no utility has issued a will-serve letter. Those variables can move project economics materially and are the correct next diligence targets.</w:t>
      </w:r>
    </w:p>
    <w:p>
      <w:pPr>
        <w:pStyle w:val="Heading1"/>
      </w:pPr>
      <w:r>
        <w:t>Sources</w:t>
      </w:r>
    </w:p>
    <w:p>
      <w:pPr>
        <w:spacing w:after="40"/>
      </w:pPr>
      <w:r>
        <w:rPr>
          <w:sz w:val="16"/>
        </w:rPr>
        <w:t>1. SABLE HARBOR, enterprise/services/generated/REPORT.md, current main 2b52933132e028bf5d9c9a8c151bb45cb0f19597.</w:t>
      </w:r>
    </w:p>
    <w:p>
      <w:pPr>
        <w:spacing w:after="40"/>
      </w:pPr>
      <w:r>
        <w:rPr>
          <w:sz w:val="16"/>
        </w:rPr>
        <w:t>2. SABLE HARBOR, enterprise/services/docs/OPERATING_ASSUMPTIONS_AND_GATES.md, current main.</w:t>
      </w:r>
    </w:p>
    <w:p>
      <w:pPr>
        <w:spacing w:after="40"/>
      </w:pPr>
      <w:r>
        <w:rPr>
          <w:sz w:val="16"/>
        </w:rPr>
        <w:t>3. Vertiv, SmartMod Infrastructure product family, https://www.vertiv.com/en-us/products-catalog/facilities-enclosures-and-racks/integrated-solutions/smartmod-infrastructure2/.</w:t>
      </w:r>
    </w:p>
    <w:p>
      <w:pPr>
        <w:spacing w:after="40"/>
      </w:pPr>
      <w:r>
        <w:rPr>
          <w:sz w:val="16"/>
        </w:rPr>
        <w:t>4. Schneider Electric, Prefabricated Data Center Modules / modular data center, https://www.se.com/us/en/product-category/7550-prefabricated-data-center-modules/.</w:t>
      </w:r>
    </w:p>
    <w:p>
      <w:pPr>
        <w:spacing w:after="40"/>
      </w:pPr>
      <w:r>
        <w:rPr>
          <w:sz w:val="16"/>
        </w:rPr>
        <w:t>5. Turner &amp; Townsend, Data Center Construction Cost Index 2025-2026, https://www.turnerandtownsend.com/en-us/insights/data-center-construction-cost-index-2025-2026/.</w:t>
      </w:r>
    </w:p>
    <w:p>
      <w:pPr>
        <w:spacing w:after="40"/>
      </w:pPr>
      <w:r>
        <w:rPr>
          <w:sz w:val="16"/>
        </w:rPr>
        <w:t>6. Washoe County, 2025 Regional Hazard Mitigation Plan, https://www.washoecounty.gov/em/Hazards/Hazard%20Mitigation%20Plan.php.</w:t>
      </w:r>
    </w:p>
    <w:p>
      <w:pPr>
        <w:spacing w:after="40"/>
      </w:pPr>
      <w:r>
        <w:rPr>
          <w:sz w:val="16"/>
        </w:rPr>
        <w:t>7. Sacramento County, Local Hazard Mitigation Plan / 2026 update, https://waterresources.saccounty.gov/us/en/stormready/hazards/mitigation-plan.html.</w:t>
      </w:r>
    </w:p>
    <w:p>
      <w:pPr>
        <w:spacing w:after="40"/>
      </w:pPr>
      <w:r>
        <w:rPr>
          <w:sz w:val="16"/>
        </w:rPr>
        <w:t>8. Salt Lake County Emergency Management, hazard preparedness resources / 2025 HMP.</w:t>
      </w:r>
    </w:p>
    <w:p>
      <w:pPr>
        <w:spacing w:after="40"/>
      </w:pPr>
      <w:r>
        <w:rPr>
          <w:sz w:val="16"/>
        </w:rPr>
        <w:t>9. Grant County, WA, Hazard Mitigation Plan 2023.</w:t>
      </w:r>
    </w:p>
    <w:p>
      <w:pPr>
        <w:spacing w:after="40"/>
      </w:pPr>
      <w:r>
        <w:rPr>
          <w:sz w:val="16"/>
        </w:rPr>
        <w:t>10. Nevada GOED, Incentives / Data Center Abatements, https://goed.nv.gov/incentives/.</w:t>
      </w:r>
    </w:p>
    <w:p>
      <w:pPr>
        <w:spacing w:after="40"/>
      </w:pPr>
      <w:r>
        <w:rPr>
          <w:sz w:val="16"/>
        </w:rPr>
        <w:t>11. Idaho Commerce, Data Center Sales Tax Exemption, https://commerce.idaho.gov/incentives/data-center-sales-tax-exemption/.</w:t>
      </w:r>
    </w:p>
    <w:p>
      <w:pPr>
        <w:spacing w:after="40"/>
      </w:pPr>
      <w:r>
        <w:rPr>
          <w:sz w:val="16"/>
        </w:rPr>
        <w:t>12. Washington Department of Revenue, Data Center Tax Incentive Programs, https://dor.wa.gov/taxes-rates/tax-incentives/tax-incentive-programs.</w:t>
      </w:r>
    </w:p>
    <w:p>
      <w:pPr>
        <w:spacing w:after="40"/>
      </w:pPr>
      <w:r>
        <w:rPr>
          <w:sz w:val="16"/>
        </w:rPr>
        <w:t>13. Nevada GOED, Nevada Standard Tax Abatements, Feb. 2026.</w:t>
      </w:r>
    </w:p>
    <w:p>
      <w:pPr>
        <w:spacing w:after="40"/>
      </w:pPr>
      <w:r>
        <w:rPr>
          <w:sz w:val="16"/>
        </w:rPr>
        <w:t>14. SMUD, 2026 Commercial Rate Guide / Economic Development Rate, https://www.smud.org/Rate-Information/Business-rates.</w:t>
      </w:r>
    </w:p>
    <w:p>
      <w:pPr>
        <w:spacing w:after="40"/>
      </w:pPr>
      <w:r>
        <w:rPr>
          <w:sz w:val="16"/>
        </w:rPr>
        <w:t>15. Colliers, Northern Nevada Industrial Market Q2 2026.</w:t>
      </w:r>
    </w:p>
    <w:p>
      <w:pPr>
        <w:spacing w:after="40"/>
      </w:pPr>
      <w:r>
        <w:rPr>
          <w:sz w:val="16"/>
        </w:rPr>
        <w:t>16. CBRE, Sacramento Industrial Figures Q2 2026.</w:t>
      </w:r>
    </w:p>
    <w:p>
      <w:pPr>
        <w:spacing w:after="40"/>
      </w:pPr>
      <w:r>
        <w:rPr>
          <w:sz w:val="16"/>
        </w:rPr>
        <w:t>17. CBRE, Boise Industrial Figures Q2 2026.</w:t>
      </w:r>
    </w:p>
    <w:p>
      <w:pPr>
        <w:spacing w:after="40"/>
      </w:pPr>
      <w:r>
        <w:rPr>
          <w:sz w:val="16"/>
        </w:rPr>
        <w:t>18. Colliers, Las Vegas Industrial Market Q2 2026.</w:t>
      </w:r>
    </w:p>
    <w:p>
      <w:pPr>
        <w:spacing w:after="40"/>
      </w:pPr>
      <w:r>
        <w:rPr>
          <w:sz w:val="16"/>
        </w:rPr>
        <w:t>19. Colliers, Salt Lake County Industrial Market Q2 2026.</w:t>
      </w:r>
    </w:p>
    <w:p>
      <w:pPr>
        <w:spacing w:after="40"/>
      </w:pPr>
      <w:r>
        <w:rPr>
          <w:sz w:val="16"/>
        </w:rPr>
        <w:t>20. U.S. Bureau of Labor Statistics, May 2025 OEWS metropolitan releases for Reno, Sacramento, Boise, Las Vegas and Salt Lake City, released 2026.</w:t>
      </w:r>
    </w:p>
    <w:p>
      <w:pPr>
        <w:spacing w:after="40"/>
      </w:pPr>
      <w:r>
        <w:rPr>
          <w:sz w:val="16"/>
        </w:rPr>
        <w:t>21. Idaho Power, Schedule 9 Large General Service, effective Jan. 1, 2026.</w:t>
      </w:r>
    </w:p>
    <w:p>
      <w:pPr>
        <w:spacing w:after="40"/>
      </w:pPr>
      <w:r>
        <w:rPr>
          <w:sz w:val="16"/>
        </w:rPr>
        <w:t>22. Rocky Mountain Power, Utah Price Summary, effective Jan. 1, 2026.</w:t>
      </w:r>
    </w:p>
    <w:p>
      <w:pPr>
        <w:spacing w:after="40"/>
      </w:pPr>
      <w:r>
        <w:rPr>
          <w:sz w:val="16"/>
        </w:rPr>
        <w:t>23. NV Energy, Energy Pricing Plans, effective July 1, 2026 context.</w:t>
      </w:r>
    </w:p>
    <w:p>
      <w:pPr>
        <w:spacing w:after="40"/>
      </w:pPr>
      <w:r>
        <w:rPr>
          <w:sz w:val="16"/>
        </w:rPr>
        <w:t>24. California Department of Tax and Fee Administration, manufacturing/R&amp;D partial exemption guidance; applicability to a data center not assumed.</w:t>
      </w:r>
    </w:p>
    <w:p>
      <w:pPr>
        <w:spacing w:after="40"/>
      </w:pPr>
      <w:r>
        <w:rPr>
          <w:sz w:val="16"/>
        </w:rPr>
        <w:t>25. NAILEX SOC and Information-Systems Audit Authority Research v0.1.0, used only for evidence/authority architecture concepts, not as SABLE HARBOR canon.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SABLE HARBOR — Owned Data Center Feasibility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SABLE HARBOR Owned Data Center Feasibility Study</dc:title>
  <dc:subject>Owner-operated data center feasibility and site economics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