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Name 1 LLC.</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Name 1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Name 1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Name 1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Name 1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Name 1 LLC.</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Name 1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w:p w:rsidR="00AB794F" w:rsidRPr="002F12D6"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p>
          <w:p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rsidR="00085318" w:rsidRDefault="00085318" w:rsidP="003E3CF1">
            <w:pPr>
              <w:spacing w:after="120"/>
              <w:rPr>
                <w:rFonts w:ascii="Arial" w:hAnsi="Arial" w:cs="Arial"/>
                <w:b/>
              </w:rPr>
            </w:pPr>
          </w:p>
          <w:p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 xml:space="preserve">For lines rated 50 kV. </w:t>
            </w:r>
            <w:proofErr w:type="gramStart"/>
            <w:r w:rsidRPr="00BE6F27">
              <w:rPr>
                <w:rFonts w:ascii="Arial" w:eastAsia="Times New Roman" w:hAnsi="Arial" w:cs="Arial"/>
              </w:rPr>
              <w:t>or</w:t>
            </w:r>
            <w:proofErr w:type="gramEnd"/>
            <w:r w:rsidRPr="00BE6F27">
              <w:rPr>
                <w:rFonts w:ascii="Arial" w:eastAsia="Times New Roman" w:hAnsi="Arial" w:cs="Arial"/>
              </w:rPr>
              <w:t xml:space="preserve"> below, minimum clearance between the lines and any part of the equipment or load shall be at least 10 feet</w:t>
            </w:r>
            <w:r>
              <w:rPr>
                <w:rFonts w:ascii="Arial" w:eastAsia="Times New Roman" w:hAnsi="Arial" w:cs="Arial"/>
              </w:rPr>
              <w:t>.</w:t>
            </w:r>
          </w:p>
          <w:p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 xml:space="preserve">Aerial lifts may be "field modified" for uses other than those intended by the manufacturer provided the modification </w:t>
            </w:r>
            <w:proofErr w:type="gramStart"/>
            <w:r w:rsidRPr="00734B84">
              <w:rPr>
                <w:rFonts w:ascii="Arial" w:hAnsi="Arial" w:cs="Arial"/>
                <w:color w:val="000000"/>
              </w:rPr>
              <w:t>has been certified</w:t>
            </w:r>
            <w:proofErr w:type="gramEnd"/>
            <w:r w:rsidRPr="00734B84">
              <w:rPr>
                <w:rFonts w:ascii="Arial" w:hAnsi="Arial" w:cs="Arial"/>
                <w:color w:val="000000"/>
              </w:rPr>
              <w:t xml:space="preserve"> in writing by the manufacturer or by any equivalent entity.</w:t>
            </w:r>
            <w:r w:rsidR="001922D9" w:rsidRPr="001922D9">
              <w:rPr>
                <w:rFonts w:ascii="Arial" w:hAnsi="Arial" w:cs="Arial"/>
                <w:sz w:val="24"/>
                <w:szCs w:val="24"/>
              </w:rPr>
              <w:t xml:space="preserve"> </w:t>
            </w:r>
          </w:p>
          <w:p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rsidR="001A5F60" w:rsidRPr="00CC7375" w:rsidRDefault="001A5F60" w:rsidP="001A5F60">
            <w:pPr>
              <w:numPr>
                <w:ilvl w:val="0"/>
                <w:numId w:val="334"/>
              </w:numPr>
              <w:spacing w:after="120"/>
              <w:rPr>
                <w:rFonts w:ascii="Arial" w:hAnsi="Arial" w:cs="Arial"/>
                <w:b/>
              </w:rPr>
            </w:pPr>
            <w:r w:rsidRPr="00CC7375">
              <w:rPr>
                <w:rFonts w:ascii="Arial" w:hAnsi="Arial" w:cs="Arial"/>
                <w:b/>
              </w:rPr>
              <w:t>Purpose</w:t>
            </w:r>
          </w:p>
          <w:p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rsidR="000F3980" w:rsidRPr="00CC7375" w:rsidRDefault="000F3980" w:rsidP="00555F9D">
            <w:pPr>
              <w:numPr>
                <w:ilvl w:val="0"/>
                <w:numId w:val="334"/>
              </w:numPr>
              <w:spacing w:after="120"/>
              <w:rPr>
                <w:rFonts w:ascii="Arial" w:hAnsi="Arial" w:cs="Arial"/>
                <w:b/>
              </w:rPr>
            </w:pPr>
            <w:r>
              <w:rPr>
                <w:rFonts w:ascii="Arial" w:hAnsi="Arial" w:cs="Arial"/>
                <w:b/>
              </w:rPr>
              <w:t>Employee Notification</w:t>
            </w:r>
          </w:p>
          <w:p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rsidR="000F3980" w:rsidRPr="0095169E" w:rsidRDefault="000F3980" w:rsidP="000F3980">
            <w:pPr>
              <w:numPr>
                <w:ilvl w:val="0"/>
                <w:numId w:val="335"/>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rsidR="000F3980" w:rsidRDefault="000F3980" w:rsidP="000F3980">
            <w:pPr>
              <w:numPr>
                <w:ilvl w:val="0"/>
                <w:numId w:val="335"/>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rsidR="005C312C" w:rsidRDefault="000F3980" w:rsidP="00555F9D">
            <w:pPr>
              <w:numPr>
                <w:ilvl w:val="0"/>
                <w:numId w:val="335"/>
              </w:numPr>
              <w:spacing w:after="240"/>
            </w:pPr>
            <w:r w:rsidRPr="00555F9D">
              <w:rPr>
                <w:rFonts w:ascii="Arial" w:hAnsi="Arial" w:cs="Arial"/>
              </w:rPr>
              <w:t>A copy (can be from OSHA website) of CFR 1910.1020 shall be maintained at each location and it shall be made available to employees for review.</w:t>
            </w:r>
          </w:p>
          <w:p w:rsidR="000F3980" w:rsidRPr="000F3980" w:rsidRDefault="000F3980" w:rsidP="00555F9D">
            <w:pPr>
              <w:numPr>
                <w:ilvl w:val="0"/>
                <w:numId w:val="334"/>
              </w:numPr>
              <w:spacing w:after="120"/>
              <w:rPr>
                <w:rFonts w:ascii="Arial" w:hAnsi="Arial" w:cs="Arial"/>
                <w:b/>
              </w:rPr>
            </w:pPr>
            <w:r w:rsidRPr="000F3980">
              <w:rPr>
                <w:rFonts w:ascii="Arial" w:hAnsi="Arial" w:cs="Arial"/>
                <w:b/>
              </w:rPr>
              <w:t xml:space="preserve">Access </w:t>
            </w:r>
          </w:p>
          <w:p w:rsidR="005E0B60" w:rsidRDefault="005E0B60" w:rsidP="005E0B60">
            <w:pPr>
              <w:numPr>
                <w:ilvl w:val="0"/>
                <w:numId w:val="336"/>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rsidR="005E0B60" w:rsidRPr="0095169E" w:rsidRDefault="005E0B60" w:rsidP="005E0B60">
            <w:pPr>
              <w:numPr>
                <w:ilvl w:val="0"/>
                <w:numId w:val="336"/>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rsidR="000F3980" w:rsidRPr="0095169E" w:rsidRDefault="000F3980" w:rsidP="00555F9D">
            <w:pPr>
              <w:numPr>
                <w:ilvl w:val="0"/>
                <w:numId w:val="336"/>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rsidR="000F3980" w:rsidRPr="0095169E" w:rsidRDefault="000F3980" w:rsidP="00555F9D">
            <w:pPr>
              <w:numPr>
                <w:ilvl w:val="0"/>
                <w:numId w:val="336"/>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rsidR="000F3980" w:rsidRDefault="000F3980" w:rsidP="009F1411">
            <w:pPr>
              <w:numPr>
                <w:ilvl w:val="0"/>
                <w:numId w:val="336"/>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rsidR="009F1411" w:rsidRPr="009F1411" w:rsidRDefault="009F1411" w:rsidP="009F1411">
            <w:pPr>
              <w:numPr>
                <w:ilvl w:val="0"/>
                <w:numId w:val="336"/>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rsidR="005019B3" w:rsidRPr="000F3980" w:rsidRDefault="005019B3" w:rsidP="005019B3">
            <w:pPr>
              <w:numPr>
                <w:ilvl w:val="0"/>
                <w:numId w:val="334"/>
              </w:numPr>
              <w:spacing w:after="120"/>
              <w:rPr>
                <w:rFonts w:ascii="Arial" w:hAnsi="Arial" w:cs="Arial"/>
                <w:b/>
              </w:rPr>
            </w:pPr>
            <w:r w:rsidRPr="005011ED">
              <w:rPr>
                <w:rFonts w:ascii="Arial" w:hAnsi="Arial" w:cs="Arial"/>
                <w:b/>
              </w:rPr>
              <w:t>Transfer of Records</w:t>
            </w:r>
          </w:p>
          <w:p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rsidR="00551318" w:rsidRDefault="006657F2" w:rsidP="00551318">
            <w:pPr>
              <w:numPr>
                <w:ilvl w:val="0"/>
                <w:numId w:val="334"/>
              </w:numPr>
              <w:spacing w:after="120"/>
              <w:rPr>
                <w:rFonts w:ascii="Arial" w:hAnsi="Arial" w:cs="Arial"/>
                <w:b/>
              </w:rPr>
            </w:pPr>
            <w:r>
              <w:rPr>
                <w:rFonts w:ascii="Arial" w:hAnsi="Arial" w:cs="Arial"/>
                <w:b/>
              </w:rPr>
              <w:t>Recordkeeping</w:t>
            </w:r>
          </w:p>
          <w:p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rsidR="00F110C6" w:rsidRDefault="00F110C6" w:rsidP="006657F2">
            <w:pPr>
              <w:rPr>
                <w:rFonts w:ascii="Arial" w:hAnsi="Arial" w:cs="Arial"/>
              </w:rPr>
            </w:pPr>
            <w:r>
              <w:rPr>
                <w:rFonts w:ascii="Arial" w:hAnsi="Arial" w:cs="Arial"/>
              </w:rPr>
              <w:t>These records shall include the following:</w:t>
            </w:r>
          </w:p>
          <w:p w:rsidR="00272E4B" w:rsidRPr="00272E4B" w:rsidRDefault="00F110C6" w:rsidP="00AD58A4">
            <w:pPr>
              <w:numPr>
                <w:ilvl w:val="0"/>
                <w:numId w:val="337"/>
              </w:numPr>
              <w:spacing w:after="120"/>
              <w:rPr>
                <w:rFonts w:ascii="Arial" w:hAnsi="Arial" w:cs="Arial"/>
              </w:rPr>
            </w:pPr>
            <w:r w:rsidRPr="00801C93">
              <w:rPr>
                <w:rFonts w:ascii="Arial" w:hAnsi="Arial" w:cs="Arial"/>
                <w:color w:val="000000"/>
              </w:rPr>
              <w:t>Exposure Records</w:t>
            </w:r>
          </w:p>
          <w:p w:rsidR="00F110C6" w:rsidRPr="00272E4B" w:rsidRDefault="00272E4B" w:rsidP="00AD58A4">
            <w:pPr>
              <w:numPr>
                <w:ilvl w:val="1"/>
                <w:numId w:val="337"/>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rsidR="00272E4B" w:rsidRDefault="00272E4B" w:rsidP="00AD58A4">
            <w:pPr>
              <w:numPr>
                <w:ilvl w:val="1"/>
                <w:numId w:val="337"/>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rsidR="00F110C6" w:rsidRPr="00AD58A4" w:rsidRDefault="00AD58A4" w:rsidP="00394AEA">
            <w:pPr>
              <w:numPr>
                <w:ilvl w:val="1"/>
                <w:numId w:val="337"/>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rsidR="00092DCF" w:rsidRPr="00394AEA" w:rsidRDefault="00092DCF" w:rsidP="00394AEA">
            <w:pPr>
              <w:numPr>
                <w:ilvl w:val="0"/>
                <w:numId w:val="337"/>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rsidR="00394AEA" w:rsidRDefault="00394AEA" w:rsidP="00394AEA">
            <w:pPr>
              <w:numPr>
                <w:ilvl w:val="1"/>
                <w:numId w:val="337"/>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rsidR="00394AEA" w:rsidRDefault="00394AEA" w:rsidP="00394AEA">
            <w:pPr>
              <w:numPr>
                <w:ilvl w:val="1"/>
                <w:numId w:val="337"/>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rsidR="00394AEA" w:rsidRPr="00394AEA" w:rsidRDefault="00394AEA" w:rsidP="00F74C72">
            <w:pPr>
              <w:numPr>
                <w:ilvl w:val="1"/>
                <w:numId w:val="337"/>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rsidR="00F110C6" w:rsidRDefault="00AD58A4" w:rsidP="00F27A2C">
            <w:pPr>
              <w:numPr>
                <w:ilvl w:val="0"/>
                <w:numId w:val="337"/>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000E39E1"/>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nsid w:val="04899FE2"/>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010DC7B3"/>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nsid w:val="052E2364"/>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nsid w:val="03EFE4B9"/>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5">
    <w:nsid w:val="049318BF"/>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1">
    <w:abstractNumId w:val="330"/>
  </w:num>
  <w:num w:numId="332">
    <w:abstractNumId w:val="330"/>
    <w:lvlOverride w:ilvl="0">
      <w:startOverride w:val="1"/>
    </w:lvlOverride>
  </w:num>
  <w:num w:numId="333">
    <w:abstractNumId w:val="331"/>
  </w:num>
  <w:num w:numId="334">
    <w:abstractNumId w:val="332"/>
  </w:num>
  <w:num w:numId="335">
    <w:abstractNumId w:val="333"/>
  </w:num>
  <w:num w:numId="336">
    <w:abstractNumId w:val="334"/>
  </w:num>
  <w:num w:numId="337">
    <w:abstractNumId w:val="335"/>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