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8E6E" w14:textId="77777777" w:rsidR="00EF0D27" w:rsidRDefault="00EF0D27" w:rsidP="00EF0D27">
      <w:pPr>
        <w:pStyle w:val="Heading2"/>
        <w:spacing w:before="0" w:after="360"/>
        <w:rPr>
          <w:rFonts w:ascii="Arial" w:hAnsi="Arial" w:cs="Arial"/>
          <w:color w:val="auto"/>
          <w:sz w:val="22"/>
          <w:szCs w:val="22"/>
        </w:rPr>
      </w:pPr>
      <w:r w:rsidRPr="007B68D3">
        <w:rPr>
          <w:rFonts w:ascii="Arial" w:hAnsi="Arial" w:cs="Arial"/>
          <w:color w:val="auto"/>
          <w:sz w:val="22"/>
          <w:szCs w:val="22"/>
        </w:rPr>
        <w:t>Trenching, Shoring, Excavation</w:t>
      </w:r>
    </w:p>
    <w:p w14:paraId="6A2A038D" w14:textId="77777777" w:rsidR="00EF0D27" w:rsidRPr="002525A5" w:rsidRDefault="00EF0D27" w:rsidP="002525A5">
      <w:pPr>
        <w:pStyle w:val="ListParagraph"/>
        <w:numPr>
          <w:ilvl w:val="0"/>
          <w:numId w:val="42"/>
        </w:numPr>
        <w:spacing w:after="120"/>
        <w:ind w:left="360"/>
        <w:rPr>
          <w:rFonts w:ascii="Arial" w:hAnsi="Arial" w:cs="Arial"/>
          <w:b/>
        </w:rPr>
      </w:pPr>
      <w:r w:rsidRPr="002525A5">
        <w:rPr>
          <w:rFonts w:ascii="Arial" w:hAnsi="Arial" w:cs="Arial"/>
          <w:b/>
        </w:rPr>
        <w:t>Purpose</w:t>
      </w:r>
    </w:p>
    <w:p w14:paraId="68D72025" w14:textId="77777777" w:rsidR="00EF0D27"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14:paraId="1FF9292C" w14:textId="77777777" w:rsidR="002525A5" w:rsidRPr="00152E01" w:rsidRDefault="002525A5" w:rsidP="00EF0D27">
      <w:pPr>
        <w:pStyle w:val="ListParagraph"/>
        <w:ind w:left="0"/>
        <w:rPr>
          <w:rFonts w:ascii="Arial" w:hAnsi="Arial" w:cs="Arial"/>
        </w:rPr>
      </w:pPr>
    </w:p>
    <w:p w14:paraId="34AD4EE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rPr>
      </w:pPr>
      <w:r w:rsidRPr="002525A5">
        <w:rPr>
          <w:rFonts w:ascii="Arial" w:hAnsi="Arial" w:cs="Arial"/>
          <w:b/>
        </w:rPr>
        <w:t>General Requirements</w:t>
      </w:r>
    </w:p>
    <w:p w14:paraId="77B7FC08"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14:paraId="684CA721"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14:paraId="5FB4904D"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14:paraId="2D10C8B8"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14:paraId="77F10026"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14:paraId="739FB2AE" w14:textId="77777777"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14:paraId="5096A73C" w14:textId="77777777" w:rsidR="00EF0D27" w:rsidRPr="00820C30" w:rsidRDefault="00EF0D27" w:rsidP="00EF0D27">
      <w:pPr>
        <w:pStyle w:val="ListParagraph"/>
        <w:tabs>
          <w:tab w:val="left" w:pos="-720"/>
        </w:tabs>
        <w:suppressAutoHyphens/>
        <w:spacing w:after="120"/>
        <w:ind w:left="0"/>
        <w:contextualSpacing w:val="0"/>
        <w:rPr>
          <w:rFonts w:ascii="Arial" w:hAnsi="Arial" w:cs="Arial"/>
          <w:b/>
          <w:bCs/>
        </w:rPr>
      </w:pPr>
      <w:r w:rsidRPr="00820C30">
        <w:rPr>
          <w:rFonts w:ascii="Arial" w:hAnsi="Arial" w:cs="Arial"/>
          <w:b/>
          <w:bCs/>
        </w:rPr>
        <w:t>Underground Installations</w:t>
      </w:r>
    </w:p>
    <w:p w14:paraId="3E9A8389"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The estimated location of utility installations, such as sewer, telephone, fuel, electric, water lines, cable communications, or any other underground installations that may be expected to be encountered during excavation work, shall be determined prior or opening the excavation.</w:t>
      </w:r>
    </w:p>
    <w:p w14:paraId="48B4F756" w14:textId="77777777" w:rsidR="00EF0D27" w:rsidRPr="00820C30" w:rsidRDefault="00EF0D27" w:rsidP="00EF0D27">
      <w:pPr>
        <w:pStyle w:val="ListParagraph"/>
        <w:numPr>
          <w:ilvl w:val="0"/>
          <w:numId w:val="12"/>
        </w:numPr>
        <w:tabs>
          <w:tab w:val="left" w:pos="-720"/>
          <w:tab w:val="left" w:pos="0"/>
        </w:tabs>
        <w:suppressAutoHyphens/>
        <w:spacing w:after="0"/>
        <w:rPr>
          <w:rFonts w:ascii="Arial" w:hAnsi="Arial" w:cs="Arial"/>
        </w:rPr>
      </w:pPr>
      <w:r w:rsidRPr="00820C30">
        <w:rPr>
          <w:rFonts w:ascii="Arial" w:hAnsi="Arial" w:cs="Arial"/>
        </w:rPr>
        <w:t>Utility companies and owners shall be contacted within established or customary local time allowances, advised of the proposed work, and asked to establish the location of the utility underground installations prior to start of the actual excavation.</w:t>
      </w:r>
    </w:p>
    <w:p w14:paraId="61816C8A" w14:textId="77777777" w:rsidR="00EF0D27" w:rsidRPr="00820C30" w:rsidRDefault="00EF0D27" w:rsidP="00EF0D27">
      <w:pPr>
        <w:pStyle w:val="ListParagraph"/>
        <w:numPr>
          <w:ilvl w:val="0"/>
          <w:numId w:val="13"/>
        </w:numPr>
        <w:tabs>
          <w:tab w:val="left" w:pos="-720"/>
          <w:tab w:val="left" w:pos="0"/>
          <w:tab w:val="left" w:pos="720"/>
        </w:tabs>
        <w:suppressAutoHyphens/>
        <w:spacing w:after="0"/>
        <w:rPr>
          <w:rFonts w:ascii="Arial" w:hAnsi="Arial" w:cs="Arial"/>
        </w:rPr>
      </w:pPr>
      <w:r w:rsidRPr="00820C30">
        <w:rPr>
          <w:rFonts w:ascii="Arial" w:hAnsi="Arial" w:cs="Arial"/>
        </w:rPr>
        <w:t>When the utility companies cannot respond to a request to locate underground utility installations within 24 hours (unless a longer period is required by law) or cannot establish the exact location of the installations, the Superintendent may proceed provided it is done so with caution and provided detection equipment or other acceptable means to locate installations are used.</w:t>
      </w:r>
      <w:r w:rsidRPr="00820C30">
        <w:rPr>
          <w:rFonts w:ascii="Arial" w:hAnsi="Arial" w:cs="Arial"/>
        </w:rPr>
        <w:tab/>
      </w:r>
    </w:p>
    <w:p w14:paraId="3D2DE338" w14:textId="77777777" w:rsidR="00EF0D27" w:rsidRPr="00820C30" w:rsidRDefault="00EF0D27" w:rsidP="00EF0D27">
      <w:pPr>
        <w:pStyle w:val="ListParagraph"/>
        <w:numPr>
          <w:ilvl w:val="0"/>
          <w:numId w:val="14"/>
        </w:numPr>
        <w:tabs>
          <w:tab w:val="left" w:pos="-720"/>
          <w:tab w:val="left" w:pos="0"/>
        </w:tabs>
        <w:suppressAutoHyphens/>
        <w:spacing w:after="0"/>
        <w:ind w:left="720"/>
        <w:rPr>
          <w:rFonts w:ascii="Arial" w:hAnsi="Arial" w:cs="Arial"/>
        </w:rPr>
      </w:pPr>
      <w:r w:rsidRPr="00820C30">
        <w:rPr>
          <w:rFonts w:ascii="Arial" w:hAnsi="Arial" w:cs="Arial"/>
        </w:rPr>
        <w:t>When excavation operations approach the estimated location of underground installations, the exact location is to be determined by a safe and acceptable means.</w:t>
      </w:r>
    </w:p>
    <w:p w14:paraId="2472A334" w14:textId="77777777" w:rsidR="00EF0D27" w:rsidRPr="00820C30" w:rsidRDefault="00EF0D27" w:rsidP="00EF0D27">
      <w:pPr>
        <w:pStyle w:val="ListParagraph"/>
        <w:numPr>
          <w:ilvl w:val="0"/>
          <w:numId w:val="14"/>
        </w:numPr>
        <w:tabs>
          <w:tab w:val="left" w:pos="-720"/>
          <w:tab w:val="left" w:pos="0"/>
        </w:tabs>
        <w:suppressAutoHyphens/>
        <w:spacing w:after="240"/>
        <w:ind w:left="720"/>
        <w:contextualSpacing w:val="0"/>
        <w:rPr>
          <w:rFonts w:ascii="Arial" w:hAnsi="Arial" w:cs="Arial"/>
        </w:rPr>
      </w:pPr>
      <w:r w:rsidRPr="00820C30">
        <w:rPr>
          <w:rFonts w:ascii="Arial" w:hAnsi="Arial" w:cs="Arial"/>
        </w:rPr>
        <w:t>While the excavation is open underground installations shall be protected, supported or removed as necessary to safeguard employees.</w:t>
      </w:r>
    </w:p>
    <w:p w14:paraId="5CEBBCC8"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lastRenderedPageBreak/>
        <w:t>Access and Egress</w:t>
      </w:r>
    </w:p>
    <w:p w14:paraId="5AB63C04"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14:paraId="1C294CDB" w14:textId="77777777"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Trenches greater than 4 ft in depth shall have a ladder or other safe means for the employee to access, spaced no more than 25 feet apart. Ladders and other devices should be secured from slipping. The side rails of the ladder should extend at least 36 inches above the resting point.</w:t>
      </w:r>
    </w:p>
    <w:p w14:paraId="77763A82" w14:textId="77777777" w:rsidR="00EF0D27" w:rsidRDefault="00EF0D27" w:rsidP="00EF0D27">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14:paraId="0DAF7BF9"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Vehicular Traffic</w:t>
      </w:r>
    </w:p>
    <w:p w14:paraId="2033C4EB" w14:textId="77777777"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14:paraId="7D162D74"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Loads</w:t>
      </w:r>
    </w:p>
    <w:p w14:paraId="56DAC349" w14:textId="77777777"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14:paraId="2182A302" w14:textId="77777777"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t>Operators may remain in cabs of vehicles being loaded or unloaded when equipped to provide protection from falling loads as prescribed in 1926. 651 (b)(6).</w:t>
      </w:r>
    </w:p>
    <w:p w14:paraId="2BB4554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Warning System for Mobile Equipment</w:t>
      </w:r>
    </w:p>
    <w:p w14:paraId="403743B4" w14:textId="77777777"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14:paraId="232D26DC" w14:textId="77777777"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A warning system such as barricades, hand or mechanical signals must be used.</w:t>
      </w:r>
    </w:p>
    <w:p w14:paraId="163890EE" w14:textId="77777777"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14:paraId="131CA71F" w14:textId="77777777"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14:paraId="4D440DA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Material and Spoil Placement</w:t>
      </w:r>
    </w:p>
    <w:p w14:paraId="46CBAA43"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14:paraId="0E4F9ED7"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Where possible excavated material shall not be piled in such a manner as to pose a falling hazard to the employees working in the excavation, including piling the material too high to be consistently stable.</w:t>
      </w:r>
    </w:p>
    <w:p w14:paraId="1F8D510F" w14:textId="77777777"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lastRenderedPageBreak/>
        <w:t>Where it is not possible to pile excavated material 2 ft or more from the edge of the excavation the material shall be removed and/or placed behind an adequate retainer barrier to prevent it from falling on employees in the excavation.</w:t>
      </w:r>
    </w:p>
    <w:p w14:paraId="0B6B73B6"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14:paraId="3442B6A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 Protection</w:t>
      </w:r>
    </w:p>
    <w:p w14:paraId="7E650A16" w14:textId="07044A79" w:rsidR="00EF0D27"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14:paraId="4AA9B1AA" w14:textId="59E3B3EA" w:rsidR="003B13A9" w:rsidRPr="00820C30" w:rsidRDefault="003B13A9" w:rsidP="00EF0D27">
      <w:pPr>
        <w:pStyle w:val="BodyTextIndent3"/>
        <w:numPr>
          <w:ilvl w:val="0"/>
          <w:numId w:val="25"/>
        </w:numPr>
        <w:tabs>
          <w:tab w:val="left" w:pos="0"/>
          <w:tab w:val="left" w:pos="8640"/>
        </w:tabs>
        <w:spacing w:after="0"/>
        <w:contextualSpacing/>
        <w:rPr>
          <w:rFonts w:ascii="Arial" w:hAnsi="Arial" w:cs="Arial"/>
          <w:sz w:val="22"/>
          <w:szCs w:val="22"/>
        </w:rPr>
      </w:pPr>
      <w:r>
        <w:rPr>
          <w:rFonts w:ascii="Arial" w:hAnsi="Arial" w:cs="Arial"/>
          <w:sz w:val="22"/>
          <w:szCs w:val="22"/>
        </w:rPr>
        <w:t>Where walkways are six feel or more above lower levels, guardrails shall be provided.</w:t>
      </w:r>
    </w:p>
    <w:p w14:paraId="0540F8C3" w14:textId="77777777"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14:paraId="3F1E0FC5" w14:textId="1DEAB6A8" w:rsidR="003B13A9" w:rsidRPr="00D22E7A" w:rsidRDefault="00EF0D27" w:rsidP="003B13A9">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r w:rsidR="003B13A9" w:rsidRPr="003B13A9">
        <w:rPr>
          <w:rFonts w:ascii="Arial" w:hAnsi="Arial" w:cs="Arial"/>
        </w:rPr>
        <w:t xml:space="preserve"> </w:t>
      </w:r>
    </w:p>
    <w:p w14:paraId="53C0CEB7"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Accumulated Water in Excavations</w:t>
      </w:r>
    </w:p>
    <w:p w14:paraId="26C71F2B" w14:textId="77777777"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14:paraId="4003828C"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Special support and shoring devices and shielding shall be provided in the event of a cave-in caused by weakening of the excavation walls.</w:t>
      </w:r>
    </w:p>
    <w:p w14:paraId="61B40B1A"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14:paraId="531AC0E8"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14:paraId="446763AA"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14:paraId="4D67535D" w14:textId="77777777"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14:paraId="0FF5F22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Stability of Adjacent Structures</w:t>
      </w:r>
    </w:p>
    <w:p w14:paraId="69567935"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Where the stability of adjoining buildings, walls or other structures is endangered by excavation operations, support systems such as shoring, bracing, or underpinning shall be provided to ensure the stability for the protection of the employees.</w:t>
      </w:r>
    </w:p>
    <w:p w14:paraId="3574E050"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lastRenderedPageBreak/>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14:paraId="5FCE32C7" w14:textId="77777777"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14:paraId="047EF4B5"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Hazardous Atmospheres in Excavations</w:t>
      </w:r>
    </w:p>
    <w:p w14:paraId="157E7343" w14:textId="77777777"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14:paraId="2F188AF6" w14:textId="77777777"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 and record maintenance that the </w:t>
      </w:r>
      <w:r w:rsidRPr="00D22E7A">
        <w:rPr>
          <w:rFonts w:ascii="Arial" w:hAnsi="Arial" w:cs="Arial"/>
          <w:bCs/>
        </w:rPr>
        <w:t>Safety Dept.</w:t>
      </w:r>
      <w:r w:rsidRPr="00820C30">
        <w:rPr>
          <w:rFonts w:ascii="Arial" w:hAnsi="Arial" w:cs="Arial"/>
        </w:rPr>
        <w:t xml:space="preserve"> can assist you with.</w:t>
      </w:r>
    </w:p>
    <w:p w14:paraId="5B97CCFE"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Operation of Heavy Equipment</w:t>
      </w:r>
    </w:p>
    <w:p w14:paraId="69A00D01" w14:textId="77777777" w:rsidR="00EF0D27" w:rsidRPr="00820C30" w:rsidRDefault="00EF0D27" w:rsidP="00EF0D27">
      <w:pPr>
        <w:tabs>
          <w:tab w:val="left" w:pos="-720"/>
        </w:tabs>
        <w:suppressAutoHyphens/>
        <w:spacing w:after="120"/>
        <w:rPr>
          <w:rFonts w:ascii="Arial" w:hAnsi="Arial" w:cs="Arial"/>
        </w:rPr>
      </w:pPr>
      <w:r w:rsidRPr="00820C30">
        <w:rPr>
          <w:rFonts w:ascii="Arial" w:hAnsi="Arial" w:cs="Arial"/>
        </w:rPr>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14:paraId="3C1FCC4F"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14:paraId="2AEDD096"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14:paraId="0067D4D3"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14:paraId="2A5C5D53"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14:paraId="3474F53F"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14:paraId="05F14DAE"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14:paraId="153DACE2" w14:textId="77777777"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t>The lifting of underground items such as sewer pipe and other utilities for removal shall be done only after it is established that the maximum load is within the safe limits for the machine being used. Proper rigging shall be used and attached appropriately.</w:t>
      </w:r>
    </w:p>
    <w:p w14:paraId="7A1E151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lastRenderedPageBreak/>
        <w:t>Fuel and Combustible Liquids</w:t>
      </w:r>
    </w:p>
    <w:p w14:paraId="6F1B2B81"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storage of fuel tanks and/or fuel containers greater than 5 gallon capacity shall not be allowed within 50 ft of the excavation whenever possible. Care and provisions should be made to protect the storage area against inadvertent damage and leaks that could drain into the excavation.</w:t>
      </w:r>
    </w:p>
    <w:p w14:paraId="0060D74C"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14:paraId="1E303396"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Additional Protective Measures</w:t>
      </w:r>
    </w:p>
    <w:p w14:paraId="3A37C514"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14:paraId="0890725A"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14:paraId="287F914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Trenches and Trench Sloping Procedures</w:t>
      </w:r>
    </w:p>
    <w:p w14:paraId="40F44B0C"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Trenches</w:t>
      </w:r>
      <w:r w:rsidRPr="00820C30">
        <w:rPr>
          <w:rFonts w:ascii="Arial" w:hAnsi="Arial" w:cs="Arial"/>
        </w:rPr>
        <w:t xml:space="preserve"> are defined as a narrow excavation in relation to its length made below the surface of the ground. In general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14:paraId="76EFDC6E"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14:paraId="6AE85654"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14:paraId="6E44C3C8"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14:paraId="5F17C5D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14:paraId="2E0CCE00"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14:paraId="3C479F2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14:paraId="22B0999E"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shore and to brace trench walls</w:t>
      </w:r>
    </w:p>
    <w:p w14:paraId="6C021A10"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14:paraId="27AEC596" w14:textId="77777777"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14:paraId="76DEC303"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lastRenderedPageBreak/>
        <w:t>Warning Signals</w:t>
      </w:r>
    </w:p>
    <w:p w14:paraId="5AEC3AC8"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14:paraId="3397EBB1"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14:paraId="6639A164"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14:paraId="4BF16D18"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14:paraId="07F2FD8D"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14:paraId="0FF5B6CF"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14:paraId="6072D998"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14:paraId="3112977A" w14:textId="77777777"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Spreading or bulging of retainment walls, shoring</w:t>
      </w:r>
    </w:p>
    <w:p w14:paraId="3149F57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Requirements for Protective Sloping and Benching for Trenches</w:t>
      </w:r>
    </w:p>
    <w:p w14:paraId="7D59CCE2"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14:paraId="7915FC53" w14:textId="77777777"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t>Excavations are made entirely in solid rock</w:t>
      </w:r>
    </w:p>
    <w:p w14:paraId="5B7DF0AA" w14:textId="77777777"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14:paraId="098694FC"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Design of Sloping and Benching Systems</w:t>
      </w:r>
    </w:p>
    <w:p w14:paraId="0B0E3841"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design of sloping and benching systems to be used shall be accomplished by a competent person as defined using methods developed and stated in 29CFR 1926.652 (b) using the alternatives provided and allowed to provide an adequate and feasible protective system defined in subpart  (b) (1) (2) (3) or (4) as required by the specific nature of the excavation.</w:t>
      </w:r>
    </w:p>
    <w:p w14:paraId="3B90CBA3" w14:textId="77777777" w:rsidR="00EF0D27" w:rsidRPr="002525A5" w:rsidRDefault="00EF0D27" w:rsidP="002525A5">
      <w:pPr>
        <w:pStyle w:val="ListParagraph"/>
        <w:numPr>
          <w:ilvl w:val="0"/>
          <w:numId w:val="42"/>
        </w:numPr>
        <w:tabs>
          <w:tab w:val="left" w:pos="-720"/>
        </w:tabs>
        <w:suppressAutoHyphens/>
        <w:ind w:left="360"/>
        <w:rPr>
          <w:rFonts w:ascii="Arial" w:hAnsi="Arial" w:cs="Arial"/>
        </w:rPr>
      </w:pPr>
      <w:r w:rsidRPr="002525A5">
        <w:rPr>
          <w:rFonts w:ascii="Arial" w:hAnsi="Arial" w:cs="Arial"/>
          <w:b/>
          <w:bCs/>
        </w:rPr>
        <w:t>Installation and Removal of Support Devices and Systems</w:t>
      </w:r>
    </w:p>
    <w:p w14:paraId="3CE104A1"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14:paraId="1F7B7B38"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14:paraId="5F32C7F1" w14:textId="77777777"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Individual members of the support system shall not be subjected to loads exceeding those they were not designed to withstand.</w:t>
      </w:r>
    </w:p>
    <w:p w14:paraId="3A2D5606"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14:paraId="7849E61D"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lastRenderedPageBreak/>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14:paraId="460DE0B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14:paraId="1D73BCC1"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14:paraId="7C1D08E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14:paraId="00EABEF7"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14:paraId="48ACBCC2"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14:paraId="25D22CB4"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14:paraId="0B09CC9C" w14:textId="77777777"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t>All structural and support systems shall be frequently inspected for damaged members, signs of stress, distress and potential failure. A competent person shall accomplish this.</w:t>
      </w:r>
    </w:p>
    <w:p w14:paraId="11FB40A3" w14:textId="77777777"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14:paraId="6EEB5706"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Shield Systems / Trench Boxes</w:t>
      </w:r>
    </w:p>
    <w:p w14:paraId="557668A8"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14:paraId="3A99C907"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14:paraId="38C1DCC6"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14:paraId="003F597F"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14:paraId="19590E24" w14:textId="77777777"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14:paraId="08804CFB" w14:textId="77777777"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14:paraId="3D15E91F"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14:paraId="0C9D0F2E"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lastRenderedPageBreak/>
        <w:t>The selection of, design and use of a shield system on any project shall follow and comply with 1926 CFR 652 particularly appendix (b) as it applies to minimum design and selection procedures.</w:t>
      </w:r>
    </w:p>
    <w:p w14:paraId="005C1741"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Inspections</w:t>
      </w:r>
    </w:p>
    <w:p w14:paraId="67F4CD49" w14:textId="77777777"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14:paraId="35745DF6" w14:textId="77777777"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14:paraId="4C457292" w14:textId="77777777"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14:paraId="1F491A77"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14:paraId="52890F63"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14:paraId="6F201FBB"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14:paraId="3E6E2FD0"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14:paraId="242D012D" w14:textId="77777777"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An inspection shall be performed as needed throughout the shift and also made:</w:t>
      </w:r>
    </w:p>
    <w:p w14:paraId="6D92E12E"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14:paraId="36D586A4"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14:paraId="389B0ED4"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Warnings and Potential Problems</w:t>
      </w:r>
    </w:p>
    <w:p w14:paraId="2F94BF45" w14:textId="77777777"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14:paraId="787A9540"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14:paraId="11BCBAA1"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14:paraId="10506811"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14:paraId="77B502C7"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Walls and bottoms should be thoroughly inspected after dewatering activities, where a quick bottom occurs ordinarily after dewatering a persisting condition requires further evaluation of the need for a supportive system and more frequent inspection.</w:t>
      </w:r>
    </w:p>
    <w:p w14:paraId="76388BBE"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 xml:space="preserve">During late winter and early spring water tables tend to be high, significantly effecting excavation and trench wall strength.  Additionally, high yield of inch per hour rainstorms </w:t>
      </w:r>
      <w:r w:rsidRPr="00081D77">
        <w:rPr>
          <w:rFonts w:ascii="Arial" w:hAnsi="Arial" w:cs="Arial"/>
        </w:rPr>
        <w:lastRenderedPageBreak/>
        <w:t>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14:paraId="7255F72D" w14:textId="77777777"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14:paraId="66F85CA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Sloping and Benching Procedures</w:t>
      </w:r>
    </w:p>
    <w:p w14:paraId="610659E3" w14:textId="77777777"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14:paraId="4BB34BA8"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(H:V)    </w:t>
      </w:r>
      <w:r w:rsidRPr="00820C30">
        <w:rPr>
          <w:rFonts w:ascii="Arial" w:hAnsi="Arial" w:cs="Arial"/>
        </w:rPr>
        <w:t xml:space="preserve">                 </w:t>
      </w:r>
      <w:r w:rsidRPr="00820C30">
        <w:rPr>
          <w:rFonts w:ascii="Arial" w:hAnsi="Arial" w:cs="Arial"/>
          <w:b/>
          <w:bCs/>
        </w:rPr>
        <w:tab/>
        <w:t>DEGREES</w:t>
      </w:r>
    </w:p>
    <w:p w14:paraId="386A3EFA"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 </w:t>
      </w:r>
    </w:p>
    <w:p w14:paraId="5EFED994"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14:paraId="71EDFE05"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3/4 : 1</w:t>
      </w:r>
      <w:r w:rsidRPr="00820C30">
        <w:rPr>
          <w:rFonts w:ascii="Arial" w:hAnsi="Arial" w:cs="Arial"/>
          <w:b/>
          <w:bCs/>
        </w:rPr>
        <w:tab/>
      </w:r>
      <w:r w:rsidRPr="00820C30">
        <w:rPr>
          <w:rFonts w:ascii="Arial" w:hAnsi="Arial" w:cs="Arial"/>
          <w:b/>
          <w:bCs/>
        </w:rPr>
        <w:tab/>
        <w:t xml:space="preserve">            53</w:t>
      </w:r>
    </w:p>
    <w:p w14:paraId="5236FE4D"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1 :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14:paraId="22C6ACD0"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1.5 :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14:paraId="3AE05D10"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14:paraId="4C5EFCD0"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14:paraId="731594C5"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Soil Classification</w:t>
      </w:r>
    </w:p>
    <w:p w14:paraId="1DF94846" w14:textId="77777777" w:rsidR="00EF0D27" w:rsidRPr="00820C30" w:rsidRDefault="00EF0D27" w:rsidP="00EF0D27">
      <w:pPr>
        <w:tabs>
          <w:tab w:val="left" w:pos="720"/>
        </w:tabs>
        <w:suppressAutoHyphens/>
        <w:rPr>
          <w:rFonts w:ascii="Arial" w:hAnsi="Arial" w:cs="Arial"/>
        </w:rPr>
      </w:pPr>
      <w:r w:rsidRPr="00820C30">
        <w:rPr>
          <w:rFonts w:ascii="Arial" w:hAnsi="Arial" w:cs="Arial"/>
        </w:rPr>
        <w:t>OSHA 29 CFR 1926. 652  appendix A to subpart B requires  specific guidelines and disciplines to be applied to classification of soil for the purpose of selection and design of  supportive systems, shoring, sloping and benching and timber shoring of excavations and trenches.</w:t>
      </w:r>
    </w:p>
    <w:p w14:paraId="7F565EE5" w14:textId="77777777" w:rsidR="00BE6829" w:rsidRPr="008D2FC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941B" w14:textId="77777777" w:rsidR="00D952E1" w:rsidRDefault="00D952E1" w:rsidP="00C157DF">
      <w:pPr>
        <w:spacing w:after="0" w:line="240" w:lineRule="auto"/>
      </w:pPr>
      <w:r>
        <w:separator/>
      </w:r>
    </w:p>
  </w:endnote>
  <w:endnote w:type="continuationSeparator" w:id="0">
    <w:p w14:paraId="5B753F83" w14:textId="77777777" w:rsidR="00D952E1" w:rsidRDefault="00D952E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FEA5"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3B13A9">
      <w:rPr>
        <w:rFonts w:ascii="Arial" w:hAnsi="Arial" w:cs="Arial"/>
        <w:noProof/>
      </w:rPr>
      <w:t>7/21/2021</w:t>
    </w:r>
    <w:r w:rsidR="0088516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119A" w14:textId="77777777" w:rsidR="00D952E1" w:rsidRDefault="00D952E1" w:rsidP="00C157DF">
      <w:pPr>
        <w:spacing w:after="0" w:line="240" w:lineRule="auto"/>
      </w:pPr>
      <w:r>
        <w:separator/>
      </w:r>
    </w:p>
  </w:footnote>
  <w:footnote w:type="continuationSeparator" w:id="0">
    <w:p w14:paraId="26000789" w14:textId="77777777" w:rsidR="00D952E1" w:rsidRDefault="00D952E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E6E43D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85DE499"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517B35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3B13A9">
            <w:rPr>
              <w:b/>
              <w:noProof/>
              <w:sz w:val="20"/>
              <w:szCs w:val="20"/>
            </w:rPr>
            <w:t>7/21/2021</w:t>
          </w:r>
          <w:r w:rsidR="00885161">
            <w:rPr>
              <w:b/>
              <w:sz w:val="20"/>
              <w:szCs w:val="20"/>
            </w:rPr>
            <w:fldChar w:fldCharType="end"/>
          </w:r>
        </w:p>
        <w:p w14:paraId="294746A7" w14:textId="77777777"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2525A5">
            <w:rPr>
              <w:b/>
              <w:bCs/>
              <w:noProof/>
              <w:sz w:val="20"/>
              <w:szCs w:val="20"/>
            </w:rPr>
            <w:t>1</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2525A5">
            <w:rPr>
              <w:b/>
              <w:bCs/>
              <w:noProof/>
              <w:sz w:val="20"/>
              <w:szCs w:val="20"/>
            </w:rPr>
            <w:t>9</w:t>
          </w:r>
          <w:r w:rsidR="00885161" w:rsidRPr="00216528">
            <w:rPr>
              <w:b/>
              <w:bCs/>
              <w:sz w:val="20"/>
              <w:szCs w:val="20"/>
            </w:rPr>
            <w:fldChar w:fldCharType="end"/>
          </w:r>
        </w:p>
      </w:tc>
    </w:tr>
    <w:tr w:rsidR="00C157DF" w:rsidRPr="0093152F" w14:paraId="2C556E7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72E7543" w14:textId="77777777"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14:paraId="647BD758"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C1398"/>
    <w:multiLevelType w:val="hybridMultilevel"/>
    <w:tmpl w:val="7E261AD8"/>
    <w:lvl w:ilvl="0" w:tplc="B1209A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2"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31"/>
  </w:num>
  <w:num w:numId="2">
    <w:abstractNumId w:val="11"/>
  </w:num>
  <w:num w:numId="3">
    <w:abstractNumId w:val="9"/>
  </w:num>
  <w:num w:numId="4">
    <w:abstractNumId w:val="16"/>
  </w:num>
  <w:num w:numId="5">
    <w:abstractNumId w:val="37"/>
  </w:num>
  <w:num w:numId="6">
    <w:abstractNumId w:val="2"/>
  </w:num>
  <w:num w:numId="7">
    <w:abstractNumId w:val="35"/>
  </w:num>
  <w:num w:numId="8">
    <w:abstractNumId w:val="4"/>
  </w:num>
  <w:num w:numId="9">
    <w:abstractNumId w:val="41"/>
  </w:num>
  <w:num w:numId="10">
    <w:abstractNumId w:val="38"/>
  </w:num>
  <w:num w:numId="11">
    <w:abstractNumId w:val="21"/>
  </w:num>
  <w:num w:numId="12">
    <w:abstractNumId w:val="18"/>
  </w:num>
  <w:num w:numId="13">
    <w:abstractNumId w:val="30"/>
  </w:num>
  <w:num w:numId="14">
    <w:abstractNumId w:val="6"/>
  </w:num>
  <w:num w:numId="15">
    <w:abstractNumId w:val="40"/>
  </w:num>
  <w:num w:numId="16">
    <w:abstractNumId w:val="26"/>
  </w:num>
  <w:num w:numId="17">
    <w:abstractNumId w:val="14"/>
  </w:num>
  <w:num w:numId="18">
    <w:abstractNumId w:val="10"/>
  </w:num>
  <w:num w:numId="19">
    <w:abstractNumId w:val="19"/>
  </w:num>
  <w:num w:numId="20">
    <w:abstractNumId w:val="20"/>
  </w:num>
  <w:num w:numId="21">
    <w:abstractNumId w:val="0"/>
  </w:num>
  <w:num w:numId="22">
    <w:abstractNumId w:val="33"/>
  </w:num>
  <w:num w:numId="23">
    <w:abstractNumId w:val="29"/>
  </w:num>
  <w:num w:numId="24">
    <w:abstractNumId w:val="5"/>
  </w:num>
  <w:num w:numId="25">
    <w:abstractNumId w:val="8"/>
  </w:num>
  <w:num w:numId="26">
    <w:abstractNumId w:val="3"/>
  </w:num>
  <w:num w:numId="27">
    <w:abstractNumId w:val="32"/>
  </w:num>
  <w:num w:numId="28">
    <w:abstractNumId w:val="23"/>
  </w:num>
  <w:num w:numId="29">
    <w:abstractNumId w:val="7"/>
  </w:num>
  <w:num w:numId="30">
    <w:abstractNumId w:val="28"/>
  </w:num>
  <w:num w:numId="31">
    <w:abstractNumId w:val="36"/>
  </w:num>
  <w:num w:numId="32">
    <w:abstractNumId w:val="39"/>
  </w:num>
  <w:num w:numId="33">
    <w:abstractNumId w:val="13"/>
  </w:num>
  <w:num w:numId="34">
    <w:abstractNumId w:val="15"/>
  </w:num>
  <w:num w:numId="35">
    <w:abstractNumId w:val="24"/>
  </w:num>
  <w:num w:numId="36">
    <w:abstractNumId w:val="25"/>
  </w:num>
  <w:num w:numId="37">
    <w:abstractNumId w:val="34"/>
  </w:num>
  <w:num w:numId="38">
    <w:abstractNumId w:val="12"/>
  </w:num>
  <w:num w:numId="39">
    <w:abstractNumId w:val="22"/>
  </w:num>
  <w:num w:numId="40">
    <w:abstractNumId w:val="17"/>
  </w:num>
  <w:num w:numId="41">
    <w:abstractNumId w:val="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246FA3"/>
    <w:rsid w:val="002525A5"/>
    <w:rsid w:val="00294698"/>
    <w:rsid w:val="003779F8"/>
    <w:rsid w:val="003B13A9"/>
    <w:rsid w:val="003D6EC5"/>
    <w:rsid w:val="003E2E03"/>
    <w:rsid w:val="004A2B12"/>
    <w:rsid w:val="00541784"/>
    <w:rsid w:val="00553376"/>
    <w:rsid w:val="00584B56"/>
    <w:rsid w:val="005B41F1"/>
    <w:rsid w:val="005F6B5E"/>
    <w:rsid w:val="00603098"/>
    <w:rsid w:val="00627C31"/>
    <w:rsid w:val="006A536C"/>
    <w:rsid w:val="00841A6F"/>
    <w:rsid w:val="008530D2"/>
    <w:rsid w:val="00885161"/>
    <w:rsid w:val="008D2FC9"/>
    <w:rsid w:val="008E6A3D"/>
    <w:rsid w:val="008E6CE9"/>
    <w:rsid w:val="00951657"/>
    <w:rsid w:val="009B263A"/>
    <w:rsid w:val="009D05CD"/>
    <w:rsid w:val="00A456AC"/>
    <w:rsid w:val="00AC4583"/>
    <w:rsid w:val="00B135D7"/>
    <w:rsid w:val="00B4572E"/>
    <w:rsid w:val="00B56577"/>
    <w:rsid w:val="00BE6829"/>
    <w:rsid w:val="00C157DF"/>
    <w:rsid w:val="00C244EA"/>
    <w:rsid w:val="00D01483"/>
    <w:rsid w:val="00D30617"/>
    <w:rsid w:val="00D64BBF"/>
    <w:rsid w:val="00D75D14"/>
    <w:rsid w:val="00D952E1"/>
    <w:rsid w:val="00EA1CDB"/>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2E63"/>
  <w15:docId w15:val="{46BCE2B9-D702-4C5E-A1C6-237EBA81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3562C"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112B4C"/>
    <w:rsid w:val="00284E54"/>
    <w:rsid w:val="00860DFF"/>
    <w:rsid w:val="00A3562C"/>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F2AF-FE7D-42FE-875C-33FD96D2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Courtney Wickham</cp:lastModifiedBy>
  <cp:revision>5</cp:revision>
  <cp:lastPrinted>2011-07-10T00:22:00Z</cp:lastPrinted>
  <dcterms:created xsi:type="dcterms:W3CDTF">2011-07-10T05:15:00Z</dcterms:created>
  <dcterms:modified xsi:type="dcterms:W3CDTF">2021-07-21T19:13:00Z</dcterms:modified>
</cp:coreProperties>
</file>