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Estimativas de Custo – Projeto TechStock</w:t>
      </w:r>
    </w:p>
    <w:p>
      <w:pPr>
        <w:spacing w:after="48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V5 MSS – Infraestrutura Multi-Cloud (AWS + Azure)  |  Junho 2026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Arquitetura Inicial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1620"/>
        <w:gridCol w:w="1620"/>
      </w:tblGrid>
      <w:tr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/ Recurso</w:t>
            </w:r>
          </w:p>
        </w:tc>
        <w:tc>
          <w:tcPr>
            <w:tcW w:type="dxa" w:w="25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(USD)</w:t>
            </w:r>
          </w:p>
        </w:tc>
        <w:tc>
          <w:tcPr>
            <w:tcW w:type="dxa" w:w="162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Anual (USD)</w:t>
            </w:r>
          </w:p>
        </w:tc>
      </w:tr>
      <w:tr>
        <w:tc>
          <w:tcPr>
            <w:tcW w:type="dxa" w:w="3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25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– Techstock-Frontend-S3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$ 0,12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$ 1,44</w:t>
            </w:r>
          </w:p>
        </w:tc>
      </w:tr>
      <w:tr>
        <w:tc>
          <w:tcPr>
            <w:tcW w:type="dxa" w:w="3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EC2 (t3.small)</w:t>
            </w:r>
          </w:p>
        </w:tc>
        <w:tc>
          <w:tcPr>
            <w:tcW w:type="dxa" w:w="25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Node.js – Techstock-Backend-EC2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$ 15,18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$ 182,16</w:t>
            </w:r>
          </w:p>
        </w:tc>
      </w:tr>
      <w:tr>
        <w:tc>
          <w:tcPr>
            <w:tcW w:type="dxa" w:w="3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RDS PostgreSQL (db.t3.micro)</w:t>
            </w:r>
          </w:p>
        </w:tc>
        <w:tc>
          <w:tcPr>
            <w:tcW w:type="dxa" w:w="25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– TechStock-RDS-PostgreSQL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$ 15,44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$ 185,28</w:t>
            </w:r>
          </w:p>
        </w:tc>
      </w:tr>
      <w:tr>
        <w:tc>
          <w:tcPr>
            <w:tcW w:type="dxa" w:w="3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5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Gerenciamento de segredos – TechStock-Secrets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$ 1,21</w:t>
            </w:r>
          </w:p>
        </w:tc>
        <w:tc>
          <w:tcPr>
            <w:tcW w:type="dxa" w:w="1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$ 14,52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$ 31,95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$ 383,40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Arquitetura AWS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700"/>
        <w:gridCol w:w="1700"/>
      </w:tblGrid>
      <w:t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/ Recurso</w:t>
            </w:r>
          </w:p>
        </w:tc>
        <w:tc>
          <w:tcPr>
            <w:tcW w:type="dxa" w:w="2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(USD)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Anual (USD)</w:t>
            </w:r>
          </w:p>
        </w:tc>
      </w:tr>
      <w:tr>
        <w:tc>
          <w:tcPr>
            <w:tcW w:type="dxa" w:w="9360"/>
            <w:gridSpan w:val="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EBF3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5C99"/>
                <w:sz w:val="18"/>
                <w:szCs w:val="18"/>
              </w:rPr>
              <w:t xml:space="preserve">Aplicação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– Techstock-Frontend-S3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$ 0,12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$ 1,44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EC2 (t3.small)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Node.js – Techstock-Backend-EC2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$ 15,18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$ 182,16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RDS PostgreSQL (db.t3.micro)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– TechStock-RDS-PostgreSQL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$ 15,44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$ 185,28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Gerenciamento de segredos – TechStock-Secrets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$ 1,21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$ 14,52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– Aplicação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$ 31,95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$ 383,40</w:t>
            </w:r>
          </w:p>
        </w:tc>
      </w:tr>
      <w:tr>
        <w:tc>
          <w:tcPr>
            <w:tcW w:type="dxa" w:w="9360"/>
            <w:gridSpan w:val="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EBF3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5C99"/>
                <w:sz w:val="18"/>
                <w:szCs w:val="18"/>
              </w:rPr>
              <w:t xml:space="preserve">Rede e Conectividade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Load Balancing (ALB)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 – TechStock-ALB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$ 22,27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$ 267,24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VPC – Site-to-Site VPN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Conexão VPN Site-to-Site (1 conexão)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$ 36,50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$ 438,00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– Rede e Conectividade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$ 58,77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$ 705,24</w:t>
            </w:r>
          </w:p>
        </w:tc>
      </w:tr>
      <w:tr>
        <w:tc>
          <w:tcPr>
            <w:tcW w:type="dxa" w:w="9360"/>
            <w:gridSpan w:val="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EBF3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5C99"/>
                <w:sz w:val="18"/>
                <w:szCs w:val="18"/>
              </w:rPr>
              <w:t xml:space="preserve">Monitoramento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EC2 (t3.micro)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de monitoramento – TechStock-Monitoring-EC2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$ 7,59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$ 91,08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– Monitoramento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$ 7,59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$ 91,08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GERAL – AWS COMPLETA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$ 98,31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$ 1.179,72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Infraestrutura Azure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3560"/>
        <w:gridCol w:w="1700"/>
      </w:tblGrid>
      <w:tr>
        <w:tc>
          <w:tcPr>
            <w:tcW w:type="dxa" w:w="2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/ Recurso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(USD)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 Virtual Ubuntu (Standard_B2s)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</w:t>
            </w:r>
          </w:p>
        </w:tc>
        <w:tc>
          <w:tcPr>
            <w:tcW w:type="dxa" w:w="3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B2ls v2 (2 vCPUs, 4 GB RAM) x 730h | Linux | 1 disco E4 | 5 GB transferência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$ 32,77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IP Público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IP Estático x 730h (East US)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$ 2,63</w:t>
            </w:r>
          </w:p>
        </w:tc>
      </w:tr>
      <w:tr>
        <w:tc>
          <w:tcPr>
            <w:tcW w:type="dxa" w:w="2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Gateway (VpnGw1AZ)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5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730h de gateway | 1 túnel S2S adicional | VPN type (East US)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$ 164,25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– AZURE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$ 199,65</w:t>
            </w:r>
          </w:p>
        </w:tc>
      </w:tr>
      <w:tr>
        <w:tc>
          <w:tcPr>
            <w:tcW w:type="dxa" w:w="9360"/>
            <w:gridSpan w:val="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9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* Prometheus e Grafana instalados na VM Ubuntu – sem custo adicional de licença.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Arquitetura Multi-Cloud (AWS + Azure)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360"/>
        <w:gridCol w:w="1300"/>
        <w:gridCol w:w="1300"/>
      </w:tblGrid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/ Recurso</w:t>
            </w:r>
          </w:p>
        </w:tc>
        <w:tc>
          <w:tcPr>
            <w:tcW w:type="dxa" w:w="18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(USD)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Anual (USD)</w:t>
            </w:r>
          </w:p>
        </w:tc>
      </w:tr>
      <w:tr>
        <w:tc>
          <w:tcPr>
            <w:tcW w:type="dxa" w:w="9360"/>
            <w:gridSpan w:val="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EBF3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5C99"/>
                <w:sz w:val="18"/>
                <w:szCs w:val="18"/>
              </w:rPr>
              <w:t xml:space="preserve">Amazon Web Services (AWS)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S3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– Techstock-Frontend-S3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$ 0,12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$ 1,44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EC2 (t3.small)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Node.js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$ 15,18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$ 182,16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RDS PostgreSQL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 – db.t3.micro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$ 15,44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$ 185,28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Gerenciamento de segredos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$ 1,21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$ 14,52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Load Balancing (ALB)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$ 22,27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$ 267,24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VPC – Site-to-Site VPN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Conexão VPN Site-to-Site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$ 36,50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$ 438,00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Amazon EC2 (t3.micro)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de monitoramento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$ 7,59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$ 91,08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– AWS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$ 98,31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$ 1.179,72</w:t>
            </w:r>
          </w:p>
        </w:tc>
      </w:tr>
      <w:tr>
        <w:tc>
          <w:tcPr>
            <w:tcW w:type="dxa" w:w="9360"/>
            <w:gridSpan w:val="5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EBF3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5C99"/>
                <w:sz w:val="18"/>
                <w:szCs w:val="18"/>
              </w:rPr>
              <w:t xml:space="preserve">Microsoft Azure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Ubuntu (Standard_B2s)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de monitoramento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$ 32,77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$ 393,24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IP Público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Estático – East US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$ 2,63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$ 31,56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 Gateway (VpnGw1AZ)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 VPN – 1 túnel S2S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$ 164,25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$ 1.971,00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 – Azure</w:t>
            </w:r>
          </w:p>
        </w:tc>
        <w:tc>
          <w:tcPr>
            <w:tcW w:type="dxa" w:w="18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$ 199,65</w:t>
            </w:r>
          </w:p>
        </w:tc>
        <w:tc>
          <w:tcPr>
            <w:tcW w:type="dxa" w:w="13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$ 2.395,80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GERAL – MULTI-CLOUD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$ 297,96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$ 3.575,52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Estimativa de Mão de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1700"/>
        <w:gridCol w:w="1700"/>
      </w:tblGrid>
      <w:tr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7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(R$ 120,00/h)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Levantamento do Ambiente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 do repositório, mapeamento de dependências e requisitos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R$ 960,00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da Arquitetura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Definição da topologia Multi-Cloud, sizing de recursos e documentação de design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R$ 1.440,00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AWS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Provisionamento de S3, EC2, RDS, Secrets Manager e configurações de rede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R$ 1.920,00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Implementação Azure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Provisionamento de VNet, VM Ubuntu e configuração do ambiente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R$ 1.200,00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da VPN Site-to-Site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do Virtual Private Gateway, Customer Gateway e túnel IPSec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R$ 960,00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do Prometheus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Instalação, configuração de targets, alertas e exporters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R$ 720,00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do Grafana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Instalação, dashboards, integração com Prometheus e painéis de monitoramento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R$ 720,00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 Validações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conectividade, failover, monitoramento e validação end-to-end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R$ 960,00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Técnica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Elaboração de documentação de infraestrutura, runbooks e diagramas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R$ 720,00</w:t>
            </w:r>
          </w:p>
        </w:tc>
      </w:tr>
      <w:tr>
        <w:tc>
          <w:tcPr>
            <w:tcW w:type="dxa" w:w="32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2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80h</w:t>
            </w:r>
          </w:p>
        </w:tc>
        <w:tc>
          <w:tcPr>
            <w:tcW w:type="dxa" w:w="1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D6E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– MÃO DE OBRA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R$ 9.600,00</w:t>
            </w:r>
          </w:p>
        </w:tc>
      </w:tr>
      <w:tr>
        <w:tc>
          <w:tcPr>
            <w:tcW w:type="dxa" w:w="9360"/>
            <w:gridSpan w:val="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9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* Taxa de referência: R$ 120,00/hora (Engenheiro Cloud Sênior). Valores estimados para fins de orçamentação do projeto.</w:t>
            </w:r>
          </w:p>
        </w:tc>
      </w:tr>
    </w:tbl>
    <w:p>
      <w:pPr>
        <w:spacing w:after="12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2026-06-23T09:32:47.045Z</dcterms:created>
  <dcterms:modified xsi:type="dcterms:W3CDTF">2026-06-23T09:32:47.045Z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