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Hasta la semana 9, hemos cumplido la mayoría de los plazos de nuestra Carta Gantt gracias a tener claro el alcance del MVP. Sin embargo, surgieron dificultades técnicas en el módulo de visión artificial que nos obligaron a adaptar nuestra estrategia. Para evitar retrasos y cuellos de botella, decidimos adelantar el trabajo e iniciar el desarrollo de la plataforma web en paralelo. Trabajar ambos componentes simultáneamente nos ha permitido mantener el avance general del proyecto, aunque nos exigirá una mayor sincronización para la próxima fase de integración de todos los sistemas.</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Para mitigar los obstáculos, como las dificultades técnicas en visión artificial, optamos por ser flexibles con nuestro cronograma. En lugar de detenernos, decidimos adelantar el desarrollo de la plataforma web, lo que nos permitió mantener a todo el equipo activo y productivo. De cara al futuro, seguiremos validando cada componente de forma individual antes de unirlos. Si enfrentamos nuevos problemas durante la etapa de integración, aprovecharemos los tiempos de holgura que nos quedan y nos apoyaremos mutuamente para no alterar el objetivo central de nuestro MVP.</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Nuestra evaluación es muy positiva, ya que hemos logrado avanzar según lo planeado, transitando exitosamente de la fase de análisis a la construcción técnica de los componentes. Lo más destacable de nuestro equipo es la organización interna, el respeto por las responsabilidades definidas y el haber mantenido el enfoque estrictamente en el MVP. En cuanto a las áreas de mejora, nos hemos dado cuenta de que necesitamos incrementar las pruebas conjuntas entre los diferentes módulos y documentar de manera más exhaustiva nuestras decisiones técnicas y los resultados de las pruebas, para asegurar una completa trazabilidad técnica del desarrollo. </w:t>
            </w: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D">
            <w:pPr>
              <w:spacing w:after="240" w:before="240" w:lineRule="auto"/>
              <w:jc w:val="both"/>
              <w:rPr>
                <w:b w:val="1"/>
                <w:bCs w:val="1"/>
                <w:color w:val="1f4e79"/>
              </w:rPr>
            </w:pPr>
            <w:r w:rsidDel="00000000" w:rsidR="00000000" w:rsidRPr="00000000">
              <w:rPr>
                <w:b w:val="1"/>
                <w:bCs w:val="1"/>
                <w:color w:val="1f4e79"/>
                <w:rtl w:val="0"/>
              </w:rPr>
              <w:t xml:space="preserve">Nuestra mayor duda actualmente radica en el nivel de exigencia formal y profundidad que se espera para las evidencias técnicas durante la etapa de validación del MVP.</w:t>
            </w:r>
          </w:p>
          <w:p w:rsidR="00000000" w:rsidDel="00000000" w:rsidP="00000000" w:rsidRDefault="00000000" w:rsidRPr="00000000" w14:paraId="0000001E">
            <w:pPr>
              <w:spacing w:after="240" w:before="240" w:lineRule="auto"/>
              <w:jc w:val="both"/>
              <w:rPr>
                <w:b w:val="1"/>
                <w:bCs w:val="1"/>
                <w:color w:val="1f4e79"/>
              </w:rPr>
            </w:pPr>
            <w:r w:rsidDel="00000000" w:rsidR="00000000" w:rsidRPr="00000000">
              <w:rPr>
                <w:b w:val="1"/>
                <w:bCs w:val="1"/>
                <w:color w:val="1f4e79"/>
                <w:rtl w:val="0"/>
              </w:rPr>
              <w:t xml:space="preserve">Por ello, al docente le plantearíamos la siguiente consulta:</w:t>
            </w:r>
          </w:p>
          <w:p w:rsidR="00000000" w:rsidDel="00000000" w:rsidP="00000000" w:rsidRDefault="00000000" w:rsidRPr="00000000" w14:paraId="0000001F">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¿El conjunto de evidencias que estamos recopilando actualmente (como repositorios de código, diagramas, capturas de pantalla y casos de prueba) es suficiente para cumplir con los criterios de evaluación de la Fase 2, o nos sugiere incorporar algún otro formato de documentación técnica adicional antes de la entrega final?.</w:t>
            </w: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No consideramos necesario realizar una reestructuración general de los roles, ya que la división inicial ha sido efectiva. Sin embargo, al adelantar el desarrollo web, integrantes como Amaru (UX/UI) y Martín (backend) tuvieron que iniciar sus tareas principales antes de lo previsto para compensar los retrasos en visión artificial a cargo de Juan Carlos. Para las próximas etapas de integración, más que reasignar tareas, deberemos trabajar de forma mucho más colaborativa, ya que se requerirá el esfuerzo conjunto de todos para lograr conectar la visión artificial con la plataforma web de manera exitosa.</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bookmarkStart w:colFirst="0" w:colLast="0" w:name="_heading=h.v2foiuac4ug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El desempeño de nuestro equipo ha sido bastante bueno. Tener metas claras desde el inicio y roles técnicos bien delimitados nos ha permitido avanzar de forma estructurada y cumplir con nuestro cronograma. Un gran acierto fue diseñar el proyecto con un enfoque modular, lo que facilitó el trabajo en paralelo de cada integrante antes de la unificación. Como puntos a mejorar, consideramos vital potenciar las revisiones cruzadas del trabajo entre los compañeros y fomentar una mayor documentación compartida. Además, de cara a la etapa de integración, será fundamental mejorar nuestra comunicación constante para garantizar que las conexiones entre la visión artificial, el servidor, la base de datos y la interfaz funcionen a la perfección.</w:t>
            </w: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dvvX2HOmFaM4FtUIk2Z6oHpLJA==">CgMxLjAyDmgudjJmb2l1YWM0dWdsOAByITEwNHFsWmNQVFprY2pKRFlDejJ6SXd1c3ZIOFFHOVAySg==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