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CU_09</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Registrar sinodal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Omar Baltazar Islas</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13/09/21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pPr>
            <w:r w:rsidDel="00000000" w:rsidR="00000000" w:rsidRPr="00000000">
              <w:rPr>
                <w:b w:val="1"/>
                <w:rtl w:val="0"/>
              </w:rPr>
              <w:t xml:space="preserve">Actualización: </w:t>
            </w: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E">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F">
            <w:pPr>
              <w:spacing w:line="276" w:lineRule="auto"/>
              <w:jc w:val="both"/>
              <w:rPr/>
            </w:pPr>
            <w:r w:rsidDel="00000000" w:rsidR="00000000" w:rsidRPr="00000000">
              <w:rPr>
                <w:rtl w:val="0"/>
              </w:rPr>
              <w:t xml:space="preserve">El coordinador podrá registrar un nuevo sindal en el sistema</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2">
            <w:pPr>
              <w:spacing w:line="276" w:lineRule="auto"/>
              <w:jc w:val="both"/>
              <w:rPr/>
            </w:pPr>
            <w:r w:rsidDel="00000000" w:rsidR="00000000" w:rsidRPr="00000000">
              <w:rPr>
                <w:rtl w:val="0"/>
              </w:rPr>
              <w:t xml:space="preserve">Coordinador</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4">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5">
            <w:pPr>
              <w:spacing w:line="276" w:lineRule="auto"/>
              <w:jc w:val="both"/>
              <w:rPr/>
            </w:pPr>
            <w:r w:rsidDel="00000000" w:rsidR="00000000" w:rsidRPr="00000000">
              <w:rPr>
                <w:rtl w:val="0"/>
              </w:rPr>
              <w:t xml:space="preserve">De 10 a 15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7">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8">
            <w:pPr>
              <w:jc w:val="both"/>
              <w:rPr/>
            </w:pPr>
            <w:r w:rsidDel="00000000" w:rsidR="00000000" w:rsidRPr="00000000">
              <w:rPr>
                <w:rtl w:val="0"/>
              </w:rPr>
              <w:t xml:space="preserve">El coordinador da clic en el botón registrar sinodal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A">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B">
            <w:pPr>
              <w:spacing w:line="276" w:lineRule="auto"/>
              <w:jc w:val="both"/>
              <w:rPr/>
            </w:pP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D">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E">
            <w:pPr>
              <w:numPr>
                <w:ilvl w:val="0"/>
                <w:numId w:val="5"/>
              </w:numPr>
              <w:ind w:left="360" w:hanging="360"/>
              <w:rPr>
                <w:u w:val="none"/>
              </w:rPr>
            </w:pPr>
            <w:r w:rsidDel="00000000" w:rsidR="00000000" w:rsidRPr="00000000">
              <w:rPr>
                <w:rtl w:val="0"/>
              </w:rPr>
              <w:t xml:space="preserve">El sistema despliega la ventana “” , en la cual muestra un comboBox para tipo de sinodal y textBox para los siguientes campos: nombre, apellido paterno, apellido materno, correo electrónico, organización y teléfono del sinodal. Además de los botones “Registrar sinodal” y “Regresar”</w:t>
            </w:r>
          </w:p>
          <w:p w:rsidR="00000000" w:rsidDel="00000000" w:rsidP="00000000" w:rsidRDefault="00000000" w:rsidRPr="00000000" w14:paraId="0000001F">
            <w:pPr>
              <w:numPr>
                <w:ilvl w:val="0"/>
                <w:numId w:val="5"/>
              </w:numPr>
              <w:ind w:left="360" w:hanging="360"/>
              <w:rPr>
                <w:u w:val="none"/>
              </w:rPr>
            </w:pPr>
            <w:r w:rsidDel="00000000" w:rsidR="00000000" w:rsidRPr="00000000">
              <w:rPr>
                <w:rtl w:val="0"/>
              </w:rPr>
              <w:t xml:space="preserve">El coordinador selecciona un tipo de sinodal del comboBox y llena los campos correspondientes. Posteriormente da clic en “Registrar” (FA1) (FA2)</w:t>
            </w:r>
          </w:p>
          <w:p w:rsidR="00000000" w:rsidDel="00000000" w:rsidP="00000000" w:rsidRDefault="00000000" w:rsidRPr="00000000" w14:paraId="00000020">
            <w:pPr>
              <w:numPr>
                <w:ilvl w:val="0"/>
                <w:numId w:val="5"/>
              </w:numPr>
              <w:ind w:left="360" w:hanging="360"/>
              <w:rPr>
                <w:u w:val="none"/>
              </w:rPr>
            </w:pPr>
            <w:r w:rsidDel="00000000" w:rsidR="00000000" w:rsidRPr="00000000">
              <w:rPr>
                <w:rtl w:val="0"/>
              </w:rPr>
              <w:t xml:space="preserve">El sistema valida los datos y guarda un nuevo SINODALDELTRABAJO. Posteriormente muestra un mensaje de exito “Registro de sinodal realizada con éxito”, ademas de un boton de “Continuar”(FA3) (FA4) (EX1)</w:t>
            </w:r>
          </w:p>
          <w:p w:rsidR="00000000" w:rsidDel="00000000" w:rsidP="00000000" w:rsidRDefault="00000000" w:rsidRPr="00000000" w14:paraId="00000021">
            <w:pPr>
              <w:numPr>
                <w:ilvl w:val="0"/>
                <w:numId w:val="5"/>
              </w:numPr>
              <w:ind w:left="360" w:hanging="360"/>
              <w:rPr>
                <w:u w:val="none"/>
              </w:rPr>
            </w:pPr>
            <w:r w:rsidDel="00000000" w:rsidR="00000000" w:rsidRPr="00000000">
              <w:rPr>
                <w:rtl w:val="0"/>
              </w:rPr>
              <w:t xml:space="preserve">El coordinador da clic en “Continuar”</w:t>
            </w:r>
          </w:p>
          <w:p w:rsidR="00000000" w:rsidDel="00000000" w:rsidP="00000000" w:rsidRDefault="00000000" w:rsidRPr="00000000" w14:paraId="00000022">
            <w:pPr>
              <w:numPr>
                <w:ilvl w:val="0"/>
                <w:numId w:val="5"/>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4">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5">
            <w:pPr>
              <w:rPr/>
            </w:pPr>
            <w:r w:rsidDel="00000000" w:rsidR="00000000" w:rsidRPr="00000000">
              <w:rPr>
                <w:rtl w:val="0"/>
              </w:rPr>
              <w:t xml:space="preserve">FA1. Clic en “Regresar”</w:t>
            </w:r>
          </w:p>
          <w:p w:rsidR="00000000" w:rsidDel="00000000" w:rsidP="00000000" w:rsidRDefault="00000000" w:rsidRPr="00000000" w14:paraId="00000026">
            <w:pPr>
              <w:numPr>
                <w:ilvl w:val="0"/>
                <w:numId w:val="3"/>
              </w:numPr>
              <w:spacing w:after="200" w:line="276" w:lineRule="auto"/>
              <w:ind w:left="360"/>
            </w:pPr>
            <w:r w:rsidDel="00000000" w:rsidR="00000000" w:rsidRPr="00000000">
              <w:rPr>
                <w:rtl w:val="0"/>
              </w:rPr>
              <w:t xml:space="preserve">Termina CU.</w:t>
            </w:r>
          </w:p>
          <w:p w:rsidR="00000000" w:rsidDel="00000000" w:rsidP="00000000" w:rsidRDefault="00000000" w:rsidRPr="00000000" w14:paraId="00000027">
            <w:pPr>
              <w:rPr/>
            </w:pPr>
            <w:r w:rsidDel="00000000" w:rsidR="00000000" w:rsidRPr="00000000">
              <w:rPr>
                <w:rtl w:val="0"/>
              </w:rPr>
              <w:t xml:space="preserve">FA2. Selección de “Interno” en tipo de sinodal</w:t>
            </w:r>
          </w:p>
          <w:p w:rsidR="00000000" w:rsidDel="00000000" w:rsidP="00000000" w:rsidRDefault="00000000" w:rsidRPr="00000000" w14:paraId="00000028">
            <w:pPr>
              <w:numPr>
                <w:ilvl w:val="0"/>
                <w:numId w:val="3"/>
              </w:numPr>
              <w:spacing w:after="0" w:line="240" w:lineRule="auto"/>
              <w:ind w:left="360"/>
            </w:pPr>
            <w:r w:rsidDel="00000000" w:rsidR="00000000" w:rsidRPr="00000000">
              <w:rPr>
                <w:rtl w:val="0"/>
              </w:rPr>
              <w:t xml:space="preserve">El sistema muestra el campo No. de personal en la ventana.</w:t>
            </w:r>
          </w:p>
          <w:p w:rsidR="00000000" w:rsidDel="00000000" w:rsidP="00000000" w:rsidRDefault="00000000" w:rsidRPr="00000000" w14:paraId="00000029">
            <w:pPr>
              <w:numPr>
                <w:ilvl w:val="0"/>
                <w:numId w:val="3"/>
              </w:numPr>
              <w:spacing w:after="0" w:line="240" w:lineRule="auto"/>
              <w:ind w:left="360"/>
              <w:rPr>
                <w:u w:val="none"/>
              </w:rPr>
            </w:pPr>
            <w:r w:rsidDel="00000000" w:rsidR="00000000" w:rsidRPr="00000000">
              <w:rPr>
                <w:rtl w:val="0"/>
              </w:rPr>
              <w:t xml:space="preserve">Vuelve al paso 2 del flujo normal</w:t>
            </w:r>
          </w:p>
          <w:p w:rsidR="00000000" w:rsidDel="00000000" w:rsidP="00000000" w:rsidRDefault="00000000" w:rsidRPr="00000000" w14:paraId="0000002A">
            <w:pPr>
              <w:spacing w:after="0" w:line="240" w:lineRule="auto"/>
              <w:ind w:left="36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FA3. Datos inválidos</w:t>
            </w:r>
          </w:p>
          <w:p w:rsidR="00000000" w:rsidDel="00000000" w:rsidP="00000000" w:rsidRDefault="00000000" w:rsidRPr="00000000" w14:paraId="0000002C">
            <w:pPr>
              <w:numPr>
                <w:ilvl w:val="0"/>
                <w:numId w:val="1"/>
              </w:numPr>
              <w:spacing w:line="276" w:lineRule="auto"/>
              <w:ind w:left="360"/>
            </w:pPr>
            <w:r w:rsidDel="00000000" w:rsidR="00000000" w:rsidRPr="00000000">
              <w:rPr>
                <w:rtl w:val="0"/>
              </w:rPr>
              <w:t xml:space="preserve">El sistema detecta que alguno de los campos es inválido, muestra los campos inválidos en rojo y muestra un mensaje de error.</w:t>
            </w:r>
          </w:p>
          <w:p w:rsidR="00000000" w:rsidDel="00000000" w:rsidP="00000000" w:rsidRDefault="00000000" w:rsidRPr="00000000" w14:paraId="0000002D">
            <w:pPr>
              <w:numPr>
                <w:ilvl w:val="0"/>
                <w:numId w:val="1"/>
              </w:numPr>
              <w:spacing w:line="276" w:lineRule="auto"/>
              <w:ind w:left="360"/>
            </w:pPr>
            <w:r w:rsidDel="00000000" w:rsidR="00000000" w:rsidRPr="00000000">
              <w:rPr>
                <w:rtl w:val="0"/>
              </w:rPr>
              <w:t xml:space="preserve">El coordinador da clic en “Continuar”</w:t>
            </w:r>
          </w:p>
          <w:p w:rsidR="00000000" w:rsidDel="00000000" w:rsidP="00000000" w:rsidRDefault="00000000" w:rsidRPr="00000000" w14:paraId="0000002E">
            <w:pPr>
              <w:numPr>
                <w:ilvl w:val="0"/>
                <w:numId w:val="1"/>
              </w:numPr>
              <w:spacing w:after="200" w:line="276" w:lineRule="auto"/>
              <w:ind w:left="360"/>
            </w:pPr>
            <w:r w:rsidDel="00000000" w:rsidR="00000000" w:rsidRPr="00000000">
              <w:rPr>
                <w:rtl w:val="0"/>
              </w:rPr>
              <w:t xml:space="preserve">Vuelve al paso 2 del flujo alterno 2.</w:t>
            </w:r>
          </w:p>
          <w:p w:rsidR="00000000" w:rsidDel="00000000" w:rsidP="00000000" w:rsidRDefault="00000000" w:rsidRPr="00000000" w14:paraId="0000002F">
            <w:pPr>
              <w:rPr/>
            </w:pPr>
            <w:r w:rsidDel="00000000" w:rsidR="00000000" w:rsidRPr="00000000">
              <w:rPr>
                <w:rtl w:val="0"/>
              </w:rPr>
              <w:t xml:space="preserve">FA4. Sinodal ya registrado</w:t>
            </w:r>
          </w:p>
          <w:p w:rsidR="00000000" w:rsidDel="00000000" w:rsidP="00000000" w:rsidRDefault="00000000" w:rsidRPr="00000000" w14:paraId="00000030">
            <w:pPr>
              <w:numPr>
                <w:ilvl w:val="0"/>
                <w:numId w:val="2"/>
              </w:numPr>
              <w:spacing w:line="276" w:lineRule="auto"/>
              <w:ind w:left="360"/>
            </w:pPr>
            <w:r w:rsidDel="00000000" w:rsidR="00000000" w:rsidRPr="00000000">
              <w:rPr>
                <w:rtl w:val="0"/>
              </w:rPr>
              <w:t xml:space="preserve">El sistema detecta que el sinodal ya existe en la base de datos y manda el mensaje “El sinodal [Nombre del sinodal] ya se encuentra registrado en la base de datos”.</w:t>
            </w:r>
          </w:p>
          <w:p w:rsidR="00000000" w:rsidDel="00000000" w:rsidP="00000000" w:rsidRDefault="00000000" w:rsidRPr="00000000" w14:paraId="00000031">
            <w:pPr>
              <w:numPr>
                <w:ilvl w:val="0"/>
                <w:numId w:val="2"/>
              </w:numPr>
              <w:spacing w:line="276" w:lineRule="auto"/>
              <w:ind w:left="360"/>
            </w:pPr>
            <w:r w:rsidDel="00000000" w:rsidR="00000000" w:rsidRPr="00000000">
              <w:rPr>
                <w:rtl w:val="0"/>
              </w:rPr>
              <w:t xml:space="preserve">El coordinador da clic en “Continuar”</w:t>
            </w:r>
          </w:p>
          <w:p w:rsidR="00000000" w:rsidDel="00000000" w:rsidP="00000000" w:rsidRDefault="00000000" w:rsidRPr="00000000" w14:paraId="00000032">
            <w:pPr>
              <w:numPr>
                <w:ilvl w:val="0"/>
                <w:numId w:val="2"/>
              </w:numPr>
              <w:spacing w:after="200" w:line="276" w:lineRule="auto"/>
              <w:ind w:left="360"/>
            </w:pPr>
            <w:r w:rsidDel="00000000" w:rsidR="00000000" w:rsidRPr="00000000">
              <w:rPr>
                <w:rtl w:val="0"/>
              </w:rPr>
              <w:t xml:space="preserve">Vuelve al paso 1 del flujo normal.</w:t>
            </w: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4">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5">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36">
            <w:pPr>
              <w:numPr>
                <w:ilvl w:val="0"/>
                <w:numId w:val="4"/>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37">
            <w:pPr>
              <w:numPr>
                <w:ilvl w:val="0"/>
                <w:numId w:val="4"/>
              </w:numPr>
              <w:ind w:left="360" w:hanging="360"/>
              <w:rPr/>
            </w:pPr>
            <w:r w:rsidDel="00000000" w:rsidR="00000000" w:rsidRPr="00000000">
              <w:rPr>
                <w:rtl w:val="0"/>
              </w:rPr>
              <w:t xml:space="preserve">El coordinador da clic en el botón Aceptar</w:t>
            </w:r>
          </w:p>
          <w:p w:rsidR="00000000" w:rsidDel="00000000" w:rsidP="00000000" w:rsidRDefault="00000000" w:rsidRPr="00000000" w14:paraId="00000038">
            <w:pPr>
              <w:numPr>
                <w:ilvl w:val="0"/>
                <w:numId w:val="4"/>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A">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B">
            <w:pPr>
              <w:spacing w:line="276" w:lineRule="auto"/>
              <w:jc w:val="both"/>
              <w:rPr/>
            </w:pPr>
            <w:r w:rsidDel="00000000" w:rsidR="00000000" w:rsidRPr="00000000">
              <w:rPr>
                <w:rtl w:val="0"/>
              </w:rPr>
              <w:t xml:space="preserve">POST-1 Se registra un nuevo SINODALDELTRABAJO en la base de datos del sistema</w:t>
            </w:r>
          </w:p>
        </w:tc>
      </w:tr>
    </w:tbl>
    <w:p w:rsidR="00000000" w:rsidDel="00000000" w:rsidP="00000000" w:rsidRDefault="00000000" w:rsidRPr="00000000" w14:paraId="0000003D">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qRg+wYdsC1xmDroflNl+xTF++A==">AMUW2mWnd0RKL+zeXkiq+kxNibR09zTEHslxM/XdBOOELkWCrGCOCI3UER4kAXg9NdnR+jHTce76du33Ss8EVW2FmCxSGJmiLro3cdCOLf8U8m299JVWNr0=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7A55738-635A-468A-97E7-3ADE1CC5B88B}"/>
</file>

<file path=customXML/itemProps3.xml><?xml version="1.0" encoding="utf-8"?>
<ds:datastoreItem xmlns:ds="http://schemas.openxmlformats.org/officeDocument/2006/customXml" ds:itemID="{D38CCAFC-0895-4F3B-AFF8-D14E80CFAC25}"/>
</file>

<file path=customXML/itemProps4.xml><?xml version="1.0" encoding="utf-8"?>
<ds:datastoreItem xmlns:ds="http://schemas.openxmlformats.org/officeDocument/2006/customXml" ds:itemID="{1805823D-E5A9-4484-89DB-CCDD76177AD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