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7"/>
        <w:gridCol w:w="3057"/>
        <w:gridCol w:w="5379"/>
      </w:tblGrid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CU_</w:t>
            </w:r>
            <w:r>
              <w:rPr/>
              <w:t>10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Ver lista de cuerpos académicos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</w:t>
            </w:r>
            <w:r>
              <w:rPr/>
              <w:t>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 xml:space="preserve">El coordinador </w:t>
            </w:r>
            <w:r>
              <w:rPr/>
              <w:t>visualizará los cuerpos académicos registrados dentro del sistema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D</w:t>
            </w:r>
            <w:r>
              <w:rPr/>
              <w:t>e 20 a 30 veces cada 6 meses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 xml:space="preserve">El coordinador da clic </w:t>
            </w:r>
            <w:r>
              <w:rPr/>
              <w:t>el botón “Cuerpos académicos”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sistema despliega </w:t>
            </w:r>
            <w:r>
              <w:rPr/>
              <w:t>despliega la vista “CuerposAcademicos” y carga dentro de una carga la información siguiente de cada cuerpo académico registrado (EX01):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 xml:space="preserve">- </w:t>
            </w:r>
            <w:r>
              <w:rPr/>
              <w:t>Nombre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 xml:space="preserve">- </w:t>
            </w:r>
            <w:r>
              <w:rPr/>
              <w:t>Integrantes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</w:t>
            </w:r>
            <w:r>
              <w:rPr>
                <w:u w:val="none"/>
              </w:rPr>
              <w:t xml:space="preserve"> </w:t>
            </w:r>
            <w:r>
              <w:rPr>
                <w:u w:val="none"/>
              </w:rPr>
              <w:t>coordinador visualiza la información.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Sin flujos alternos</w:t>
            </w:r>
          </w:p>
        </w:tc>
      </w:tr>
      <w:tr>
        <w:trPr>
          <w:trHeight w:val="329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 xml:space="preserve">EX1. </w:t>
            </w:r>
            <w:r>
              <w:rPr/>
              <w:t>Error al cargar la información.</w:t>
            </w:r>
          </w:p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1. El sistema muestra el mensaje “Ocurrió un error al cargar los cuerpos académicos”.</w:t>
            </w:r>
          </w:p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  <w:t>2. Fin de la EX01.</w:t>
            </w:r>
          </w:p>
        </w:tc>
      </w:tr>
      <w:tr>
        <w:trPr>
          <w:trHeight w:val="348" w:hRule="atLeast"/>
        </w:trPr>
        <w:tc>
          <w:tcPr>
            <w:tcW w:w="21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eastAsia="ar-SA" w:val="es-MX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Normal1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120</Words>
  <Characters>728</Characters>
  <CharactersWithSpaces>817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2022-10-17T08:34:46Z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