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8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registrara un nuevo 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</w:t>
            </w:r>
            <w:r>
              <w:rPr/>
              <w:t>5 a 10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Registrar 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dentro de la vista de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proyectos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/>
              <w:t>NuevoProyecto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selecciona el tipo de tipo de 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ón a registrar (Proyecto de investigación, PLADEA, Vinculación)(FA01)(FA02)(FA03).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y guarda los datos. (FA04)(FA05);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Eliminaci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de integrantes.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coordinador elimina los integrantes ya registrados dentro del cuerpo académico, dando click en el botón “eliminar”.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sistema lanza el mensaje “Estas seguro de eliminar el registro?”.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da click en “Confirmar”.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El sistema elimina el registro.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FA02.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Profesor ya es integrante.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lanza el mensaje “El profesor ya es integrante de un cuerpo académico, puedes registrarlo solo como colaborador”.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FA02.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FA03. Selección no realizada.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lanza el mensaje “Debe de seleccionar el tipo de integrante”.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FA03.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guardar el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“Ha ocurrido un error al guardar el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LibreOffice/7.3.6.2$Linux_X86_64 LibreOffice_project/30$Build-2</Application>
  <AppVersion>15.0000</AppVersion>
  <Pages>1</Pages>
  <Words>224</Words>
  <Characters>1303</Characters>
  <CharactersWithSpaces>1484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2022-10-17T09:51:13Z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