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CU_3</w:t>
            </w:r>
            <w:r>
              <w:rPr/>
              <w:t>5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Registrar tipo de documento.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administrador </w:t>
            </w:r>
            <w:r>
              <w:rPr/>
              <w:t>registra un nuevo tipo de documento.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10 a 20 veces al mes.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Registrar tipo”.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despliega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la v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ista “Nuevo tipo de documento”.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administrador ingresa los datos siguientes: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-  Experiencia educativa a la que pertenece.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-  Nombre del tipo de documento.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3.   El sistema valida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y registra el nuevo tipo de documento. (FA01) (FA02) (EX01)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incompletos.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al flujo normal paso 2.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FA02.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duplicada.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“Ya existe el tipo de documento que intenta registrar”.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3.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EX01. Error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de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Error al registrar el tipo de documento.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LibreOffice/7.3.6.2$Linux_X86_64 LibreOffice_project/30$Build-2</Application>
  <AppVersion>15.0000</AppVersion>
  <Pages>1</Pages>
  <Words>166</Words>
  <Characters>934</Characters>
  <CharactersWithSpaces>1067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2023-01-06T11:35:32Z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