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spacing w:after="0"/>
      </w:pPr>
      <w:r>
        <w:t xml:space="preserve">Telora (ex MisFinanzas)</w:t>
      </w:r>
    </w:p>
    <w:p>
      <w:pPr>
        <w:jc w:val="center"/>
        <w:spacing w:after="60"/>
      </w:pPr>
      <w:r>
        <w:rPr>
          <w:i/>
          <w:iCs/>
        </w:rPr>
        <w:t xml:space="preserve">Resumen del día — 12 de septiembre de 2026 (Día 12 del Plan de Acción)</w:t>
      </w:r>
    </w:p>
    <w:p>
      <w:pPr>
        <w:jc w:val="center"/>
        <w:spacing w:after="300"/>
      </w:pPr>
      <w:r>
        <w:rPr>
          <w:i/>
          <w:iCs/>
        </w:rPr>
        <w:t xml:space="preserve">Borrador — cubre solo el bloque de cierre de pendientes heredados y la Tanda T6. Pendiente integrar al resumen completo del Día 12 al cerrar la sesión del día.</w:t>
      </w:r>
    </w:p>
    <w:p>
      <w:pPr>
        <w:pStyle w:val="Heading1"/>
        <w:spacing w:before="300" w:after="160"/>
      </w:pPr>
      <w:r>
        <w:t xml:space="preserve">1. Estado inicial y cierre de pendientes heredados</w:t>
      </w:r>
    </w:p>
    <w:p>
      <w:pPr>
        <w:spacing w:after="160"/>
      </w:pPr>
      <w:r>
        <w:t xml:space="preserve">Al iniciar la sesión para ejecutar la Tanda T6 (escapado de HTML), `git status` mostró el árbol de trabajo sucio: `index.html` con 394 líneas de cambios sin commitear correspondientes a una implementación completa y funcional del onboarding interactivo de 6 pasos (documentado como pendiente en la sección 7 del Resumen del Día 11), más una carpeta `Dia 11/` sin trackear que solo contenía `MisFinanzas_Resumen_del_Dia11.docx`. El HEAD sí coincidía con el commit esperado (`a1ba629`).</w:t>
      </w:r>
    </w:p>
    <w:p>
      <w:pPr>
        <w:spacing w:after="160"/>
      </w:pPr>
      <w:r>
        <w:rPr>
          <w:b/>
          <w:bCs/>
        </w:rPr>
        <w:t xml:space="preserve">Onboarding — </w:t>
      </w:r>
      <w:r>
        <w:t xml:space="preserve">antes de commitear se comparó el diff completo contra la descripción ya validada del Día 11 (flujo de 6 pasos, `DEFAULTS.categorias`/`DEFAULTS.fuentes` reemplazados por listas genéricas, fix de `migrateBackup()` comparando contra el valor crudo del respaldo en vez del ya fusionado con `DEFAULTS`, botón de relanzamiento en Configuración → Funcionamiento con pre-marcado) — coincidía en su totalidad, sin código a medio escribir. Se verificó además de forma funcional con un servidor local: disparo automático en estado vacío, recorrido completo de los 6 pasos, persistencia de `onboardingVisto = true` al cerrar, y el relanzamiento manual premarcando correctamente las fuentes ya personalizadas del usuario. Commit `f740818` — "Onboarding interactivo de 6 pasos (Día 11, sin commitear hasta ahora)".</w:t>
      </w:r>
    </w:p>
    <w:p>
      <w:pPr>
        <w:spacing w:after="160"/>
      </w:pPr>
      <w:r>
        <w:rPr>
          <w:b/>
          <w:bCs/>
        </w:rPr>
        <w:t xml:space="preserve">Carpeta Dia 11/ — </w:t>
      </w:r>
      <w:r>
        <w:t xml:space="preserve">antes de decidir qué hacer con ella se confirmó el precedente real, no supuesto: `git log --oneline --all -- "Dia 2"` mostró el commit `53e11ad` ("Snapshot Día 2: resumen del día"), que efectivamente versionó `Dia 2/MisFinanzas_Resumen_del_Dia2.docx` en el repo — el patrón de "carpeta Dia N con su docx de resumen versionado" ya existía. Confirmado el precedente, se commiteó por separado del onboarding: `44a3294` — "Agrega resumen del Día 11 (pendiente de sesión anterior)".</w:t>
      </w:r>
    </w:p>
    <w:p>
      <w:pPr>
        <w:spacing w:after="160"/>
      </w:pPr>
      <w:r>
        <w:t xml:space="preserve">Con ambos commits pusheados a `origin/main` y el working tree limpio, recién ahí comenzó la Tanda T6 sobre una base conocida.</w:t>
      </w:r>
    </w:p>
    <w:p>
      <w:pPr>
        <w:pStyle w:val="Heading1"/>
        <w:spacing w:before="300" w:after="160"/>
      </w:pPr>
      <w:r>
        <w:t xml:space="preserve">2. Tanda T6 — Escapado de HTML en datos de usuario (prevención de XSS almacenado)</w:t>
      </w:r>
    </w:p>
    <w:p>
      <w:pPr>
        <w:pStyle w:val="Heading2"/>
        <w:spacing w:before="200" w:after="120"/>
      </w:pPr>
      <w:r>
        <w:t xml:space="preserve">2.1 Contexto</w:t>
      </w:r>
    </w:p>
    <w:p>
      <w:pPr>
        <w:spacing w:after="160"/>
      </w:pPr>
      <w:r>
        <w:t xml:space="preserve">La app ya contaba con `escAttr(s)` para escapar comillas dentro de atributos HTML (p. ej. `value="${escAttr(a.id)}"`), correctamente implementada y sin tocar en esta tanda. El problema identificado eran los campos de texto libre del usuario (nombre de cuenta, categoría, descripción de movimiento, nombre de meta, etc.) insertados directamente en `innerHTML` sin escapar `&amp;`, `&lt;`, `&gt;` — una vulnerabilidad de XSS almacenado. Se agregó `escHtml(s)` junto a `escAttr`, mismo estilo: escapa `&amp;` primero (para no doble-escapar) y luego `&lt;`, `&gt;`, `"`, `'`.</w:t>
      </w:r>
    </w:p>
    <w:p>
      <w:pPr>
        <w:spacing w:after="160"/>
      </w:pPr>
      <w:r>
        <w:t xml:space="preserve">La auditoría previa a esta sesión había identificado 10 puntos concretos donde aplicar el fix. Uno de esos 10 (`renderObPaso6`) resultó no aplicar, por venir de una constante fija del sistema. Durante la ejecución y la verificación con evidencia real se encontraron alrededor de 16 puntos adicionales del mismo tipo de vulnerabilidad, no cubiertos por la lista original — ver la nota de método en 2.5.</w:t>
      </w:r>
    </w:p>
    <w:p>
      <w:pPr>
        <w:pStyle w:val="Heading2"/>
        <w:spacing w:before="200" w:after="120"/>
      </w:pPr>
      <w:r>
        <w:t xml:space="preserve">2.2 Puntos donde se aplicó escHtml()</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000"/>
        <w:gridCol w:w="3400"/>
        <w:gridCol w:w="3626"/>
      </w:tblGrid>
      <w:tr>
        <w:tc>
          <w:tcPr>
            <w:tcW w:w="2000" w:type="dxa"/>
            <w:shd w:val="clear" w:fill="2E74B5"/>
            <w:vAlign w:val="top"/>
          </w:tcPr>
          <w:p>
            <w:pPr>
              <w:spacing w:after="0"/>
            </w:pPr>
            <w:r>
              <w:rPr>
                <w:b/>
                <w:bCs/>
                <w:color w:val="FFFFFF"/>
              </w:rPr>
              <w:t xml:space="preserve">Función</w:t>
            </w:r>
          </w:p>
        </w:tc>
        <w:tc>
          <w:tcPr>
            <w:tcW w:w="3400" w:type="dxa"/>
            <w:shd w:val="clear" w:fill="2E74B5"/>
            <w:vAlign w:val="top"/>
          </w:tcPr>
          <w:p>
            <w:pPr>
              <w:spacing w:after="0"/>
            </w:pPr>
            <w:r>
              <w:rPr>
                <w:b/>
                <w:bCs/>
                <w:color w:val="FFFFFF"/>
              </w:rPr>
              <w:t xml:space="preserve">Campo protegido</w:t>
            </w:r>
          </w:p>
        </w:tc>
        <w:tc>
          <w:tcPr>
            <w:tcW w:w="3626" w:type="dxa"/>
            <w:shd w:val="clear" w:fill="2E74B5"/>
            <w:vAlign w:val="top"/>
          </w:tcPr>
          <w:p>
            <w:pPr>
              <w:spacing w:after="0"/>
            </w:pPr>
            <w:r>
              <w:rPr>
                <w:b/>
                <w:bCs/>
                <w:color w:val="FFFFFF"/>
              </w:rPr>
              <w:t xml:space="preserve">Por qué es texto de usuario</w:t>
            </w:r>
          </w:p>
        </w:tc>
      </w:tr>
      <w:tr>
        <w:tc>
          <w:tcPr>
            <w:tcW w:w="2000" w:type="dxa"/>
            <w:vAlign w:val="top"/>
          </w:tcPr>
          <w:p>
            <w:pPr>
              <w:spacing w:after="40"/>
            </w:pPr>
            <w:r>
              <w:rPr>
                <w:b/>
                <w:bCs/>
              </w:rPr>
              <w:t xml:space="preserve">poblarSelectCuenta</w:t>
            </w:r>
          </w:p>
        </w:tc>
        <w:tc>
          <w:tcPr>
            <w:tcW w:w="3400" w:type="dxa"/>
            <w:vAlign w:val="top"/>
          </w:tcPr>
          <w:p>
            <w:pPr>
              <w:spacing w:after="40"/>
            </w:pPr>
            <w:r>
              <w:t xml:space="preserve">Nombre de cuenta en &lt;option&gt; (selector de cuenta de gasto/ingreso)</w:t>
            </w:r>
          </w:p>
        </w:tc>
        <w:tc>
          <w:tcPr>
            <w:tcW w:w="3626" w:type="dxa"/>
            <w:vAlign w:val="top"/>
          </w:tcPr>
          <w:p>
            <w:pPr>
              <w:spacing w:after="40"/>
            </w:pPr>
            <w:r>
              <w:t xml:space="preserve">El usuario nombra sus cuentas libremente al crearlas en Configuración.</w:t>
            </w:r>
          </w:p>
        </w:tc>
      </w:tr>
      <w:tr>
        <w:tc>
          <w:tcPr>
            <w:tcW w:w="2000" w:type="dxa"/>
            <w:vAlign w:val="top"/>
          </w:tcPr>
          <w:p>
            <w:pPr>
              <w:spacing w:after="40"/>
            </w:pPr>
            <w:r>
              <w:rPr>
                <w:b/>
                <w:bCs/>
              </w:rPr>
              <w:t xml:space="preserve">poblarSelectMetaCuenta</w:t>
            </w:r>
          </w:p>
        </w:tc>
        <w:tc>
          <w:tcPr>
            <w:tcW w:w="3400" w:type="dxa"/>
            <w:vAlign w:val="top"/>
          </w:tcPr>
          <w:p>
            <w:pPr>
              <w:spacing w:after="40"/>
            </w:pPr>
            <w:r>
              <w:t xml:space="preserve">Nombre de cuenta en &lt;option&gt; (selector de cuenta de una meta)</w:t>
            </w:r>
          </w:p>
        </w:tc>
        <w:tc>
          <w:tcPr>
            <w:tcW w:w="3626" w:type="dxa"/>
            <w:vAlign w:val="top"/>
          </w:tcPr>
          <w:p>
            <w:pPr>
              <w:spacing w:after="40"/>
            </w:pPr>
            <w:r>
              <w:t xml:space="preserve">Mismo campo que el punto anterior.</w:t>
            </w:r>
          </w:p>
        </w:tc>
      </w:tr>
      <w:tr>
        <w:tc>
          <w:tcPr>
            <w:tcW w:w="2000" w:type="dxa"/>
            <w:vAlign w:val="top"/>
          </w:tcPr>
          <w:p>
            <w:pPr>
              <w:spacing w:after="40"/>
            </w:pPr>
            <w:r>
              <w:rPr>
                <w:b/>
                <w:bCs/>
              </w:rPr>
              <w:t xml:space="preserve">poblarSelectTransferCuenta</w:t>
            </w:r>
          </w:p>
        </w:tc>
        <w:tc>
          <w:tcPr>
            <w:tcW w:w="3400" w:type="dxa"/>
            <w:vAlign w:val="top"/>
          </w:tcPr>
          <w:p>
            <w:pPr>
              <w:spacing w:after="40"/>
            </w:pPr>
            <w:r>
              <w:t xml:space="preserve">Nombre de cuenta en &lt;option&gt;, origen y destino de una transferencia</w:t>
            </w:r>
          </w:p>
        </w:tc>
        <w:tc>
          <w:tcPr>
            <w:tcW w:w="3626" w:type="dxa"/>
            <w:vAlign w:val="top"/>
          </w:tcPr>
          <w:p>
            <w:pPr>
              <w:spacing w:after="40"/>
            </w:pPr>
            <w:r>
              <w:t xml:space="preserve">Mismo campo: nombre de cuenta libre.</w:t>
            </w:r>
          </w:p>
        </w:tc>
      </w:tr>
      <w:tr>
        <w:tc>
          <w:tcPr>
            <w:tcW w:w="2000" w:type="dxa"/>
            <w:vAlign w:val="top"/>
          </w:tcPr>
          <w:p>
            <w:pPr>
              <w:spacing w:after="40"/>
            </w:pPr>
            <w:r>
              <w:rPr>
                <w:b/>
                <w:bCs/>
              </w:rPr>
              <w:t xml:space="preserve">openGastoForm</w:t>
            </w:r>
          </w:p>
        </w:tc>
        <w:tc>
          <w:tcPr>
            <w:tcW w:w="3400" w:type="dxa"/>
            <w:vAlign w:val="top"/>
          </w:tcPr>
          <w:p>
            <w:pPr>
              <w:spacing w:after="40"/>
            </w:pPr>
            <w:r>
              <w:t xml:space="preserve">Nombre de categoría en los chips de "categorías frecuentes"</w:t>
            </w:r>
          </w:p>
        </w:tc>
        <w:tc>
          <w:tcPr>
            <w:tcW w:w="3626" w:type="dxa"/>
            <w:vAlign w:val="top"/>
          </w:tcPr>
          <w:p>
            <w:pPr>
              <w:spacing w:after="40"/>
            </w:pPr>
            <w:r>
              <w:t xml:space="preserve">El usuario crea y renombra categorías libremente en Configuración.</w:t>
            </w:r>
          </w:p>
        </w:tc>
      </w:tr>
      <w:tr>
        <w:tc>
          <w:tcPr>
            <w:tcW w:w="2000" w:type="dxa"/>
            <w:vAlign w:val="top"/>
          </w:tcPr>
          <w:p>
            <w:pPr>
              <w:spacing w:after="40"/>
            </w:pPr>
            <w:r>
              <w:rPr>
                <w:b/>
                <w:bCs/>
              </w:rPr>
              <w:t xml:space="preserve">renderMetas</w:t>
            </w:r>
          </w:p>
        </w:tc>
        <w:tc>
          <w:tcPr>
            <w:tcW w:w="3400" w:type="dxa"/>
            <w:vAlign w:val="top"/>
          </w:tcPr>
          <w:p>
            <w:pPr>
              <w:spacing w:after="40"/>
            </w:pPr>
            <w:r>
              <w:t xml:space="preserve">Nombre de meta (título de tarjeta, 2 variantes) y categoría en la nota de aporte automático pausado</w:t>
            </w:r>
          </w:p>
        </w:tc>
        <w:tc>
          <w:tcPr>
            <w:tcW w:w="3626" w:type="dxa"/>
            <w:vAlign w:val="top"/>
          </w:tcPr>
          <w:p>
            <w:pPr>
              <w:spacing w:after="40"/>
            </w:pPr>
            <w:r>
              <w:t xml:space="preserve">Texto que el usuario escribe al crear la meta / nombres de categoría que edita.</w:t>
            </w:r>
          </w:p>
        </w:tc>
      </w:tr>
      <w:tr>
        <w:tc>
          <w:tcPr>
            <w:tcW w:w="2000" w:type="dxa"/>
            <w:vAlign w:val="top"/>
          </w:tcPr>
          <w:p>
            <w:pPr>
              <w:spacing w:after="40"/>
            </w:pPr>
            <w:r>
              <w:rPr>
                <w:b/>
                <w:bCs/>
              </w:rPr>
              <w:t xml:space="preserve">openInteres</w:t>
            </w:r>
          </w:p>
        </w:tc>
        <w:tc>
          <w:tcPr>
            <w:tcW w:w="3400" w:type="dxa"/>
            <w:vAlign w:val="top"/>
          </w:tcPr>
          <w:p>
            <w:pPr>
              <w:spacing w:after="40"/>
            </w:pPr>
            <w:r>
              <w:t xml:space="preserve">Nombre de meta (título del cálculo de intereses)</w:t>
            </w:r>
          </w:p>
        </w:tc>
        <w:tc>
          <w:tcPr>
            <w:tcW w:w="3626" w:type="dxa"/>
            <w:vAlign w:val="top"/>
          </w:tcPr>
          <w:p>
            <w:pPr>
              <w:spacing w:after="40"/>
            </w:pPr>
            <w:r>
              <w:t xml:space="preserve">Mismo campo que renderMetas.</w:t>
            </w:r>
          </w:p>
        </w:tc>
      </w:tr>
      <w:tr>
        <w:tc>
          <w:tcPr>
            <w:tcW w:w="2000" w:type="dxa"/>
            <w:vAlign w:val="top"/>
          </w:tcPr>
          <w:p>
            <w:pPr>
              <w:spacing w:after="40"/>
            </w:pPr>
            <w:r>
              <w:rPr>
                <w:b/>
                <w:bCs/>
              </w:rPr>
              <w:t xml:space="preserve">renderResumen</w:t>
            </w:r>
          </w:p>
        </w:tc>
        <w:tc>
          <w:tcPr>
            <w:tcW w:w="3400" w:type="dxa"/>
            <w:vAlign w:val="top"/>
          </w:tcPr>
          <w:p>
            <w:pPr>
              <w:spacing w:after="40"/>
            </w:pPr>
            <w:r>
              <w:t xml:space="preserve">Nombre de categoría en la fila "Gasto por categoría"</w:t>
            </w:r>
          </w:p>
        </w:tc>
        <w:tc>
          <w:tcPr>
            <w:tcW w:w="3626" w:type="dxa"/>
            <w:vAlign w:val="top"/>
          </w:tcPr>
          <w:p>
            <w:pPr>
              <w:spacing w:after="40"/>
            </w:pPr>
            <w:r>
              <w:t xml:space="preserve">Mismo campo: nombre de categoría editable por el usuario.</w:t>
            </w:r>
          </w:p>
        </w:tc>
      </w:tr>
      <w:tr>
        <w:tc>
          <w:tcPr>
            <w:tcW w:w="2000" w:type="dxa"/>
            <w:vAlign w:val="top"/>
          </w:tcPr>
          <w:p>
            <w:pPr>
              <w:spacing w:after="40"/>
            </w:pPr>
            <w:r>
              <w:rPr>
                <w:b/>
                <w:bCs/>
              </w:rPr>
              <w:t xml:space="preserve">renderResumenDetalle</w:t>
            </w:r>
          </w:p>
        </w:tc>
        <w:tc>
          <w:tcPr>
            <w:tcW w:w="3400" w:type="dxa"/>
            <w:vAlign w:val="top"/>
          </w:tcPr>
          <w:p>
            <w:pPr>
              <w:spacing w:after="40"/>
            </w:pPr>
            <w:r>
              <w:t xml:space="preserve">Nombre de fuente, categoría, descripción de cuota o nombre de meta (Top 3 de cada bloque)</w:t>
            </w:r>
          </w:p>
        </w:tc>
        <w:tc>
          <w:tcPr>
            <w:tcW w:w="3626" w:type="dxa"/>
            <w:vAlign w:val="top"/>
          </w:tcPr>
          <w:p>
            <w:pPr>
              <w:spacing w:after="40"/>
            </w:pPr>
            <w:r>
              <w:t xml:space="preserve">Cada bloque agrega el campo de usuario correspondiente a Ingresos/Gastos/Cuotas/Metas.</w:t>
            </w:r>
          </w:p>
        </w:tc>
      </w:tr>
      <w:tr>
        <w:tc>
          <w:tcPr>
            <w:tcW w:w="2000" w:type="dxa"/>
            <w:vAlign w:val="top"/>
          </w:tcPr>
          <w:p>
            <w:pPr>
              <w:spacing w:after="40"/>
            </w:pPr>
            <w:r>
              <w:rPr>
                <w:b/>
                <w:bCs/>
              </w:rPr>
              <w:t xml:space="preserve">renderInsights</w:t>
            </w:r>
          </w:p>
        </w:tc>
        <w:tc>
          <w:tcPr>
            <w:tcW w:w="3400" w:type="dxa"/>
            <w:vAlign w:val="top"/>
          </w:tcPr>
          <w:p>
            <w:pPr>
              <w:spacing w:after="40"/>
            </w:pPr>
            <w:r>
              <w:t xml:space="preserve">Nombre/descripción de movimiento (aviso de fecha incierta); nombre de categoría en 4 puntos distintos (frase "más subió", "mayor variación" x2, "cuotas sin confirmar", "Categorías en alerta")</w:t>
            </w:r>
          </w:p>
        </w:tc>
        <w:tc>
          <w:tcPr>
            <w:tcW w:w="3626" w:type="dxa"/>
            <w:vAlign w:val="top"/>
          </w:tcPr>
          <w:p>
            <w:pPr>
              <w:spacing w:after="40"/>
            </w:pPr>
            <w:r>
              <w:t xml:space="preserve">5 hallazgos dentro de la misma función, todos categoría o nombre/descripción escritos por el usuario.</w:t>
            </w:r>
          </w:p>
        </w:tc>
      </w:tr>
      <w:tr>
        <w:tc>
          <w:tcPr>
            <w:tcW w:w="2000" w:type="dxa"/>
            <w:vAlign w:val="top"/>
          </w:tcPr>
          <w:p>
            <w:pPr>
              <w:spacing w:after="40"/>
            </w:pPr>
            <w:r>
              <w:rPr>
                <w:b/>
                <w:bCs/>
              </w:rPr>
              <w:t xml:space="preserve">openCategoriaDetalle</w:t>
            </w:r>
          </w:p>
        </w:tc>
        <w:tc>
          <w:tcPr>
            <w:tcW w:w="3400" w:type="dxa"/>
            <w:vAlign w:val="top"/>
          </w:tcPr>
          <w:p>
            <w:pPr>
              <w:spacing w:after="40"/>
            </w:pPr>
            <w:r>
              <w:t xml:space="preserve">Descripción del movimiento en el detalle de una categoría</w:t>
            </w:r>
          </w:p>
        </w:tc>
        <w:tc>
          <w:tcPr>
            <w:tcW w:w="3626" w:type="dxa"/>
            <w:vAlign w:val="top"/>
          </w:tcPr>
          <w:p>
            <w:pPr>
              <w:spacing w:after="40"/>
            </w:pPr>
            <w:r>
              <w:t xml:space="preserve">El usuario escribe la descripción al registrar el gasto.</w:t>
            </w:r>
          </w:p>
        </w:tc>
      </w:tr>
      <w:tr>
        <w:tc>
          <w:tcPr>
            <w:tcW w:w="2000" w:type="dxa"/>
            <w:vAlign w:val="top"/>
          </w:tcPr>
          <w:p>
            <w:pPr>
              <w:spacing w:after="40"/>
            </w:pPr>
            <w:r>
              <w:rPr>
                <w:b/>
                <w:bCs/>
              </w:rPr>
              <w:t xml:space="preserve">renderHistorial — pestaña Gastos</w:t>
            </w:r>
          </w:p>
        </w:tc>
        <w:tc>
          <w:tcPr>
            <w:tcW w:w="3400" w:type="dxa"/>
            <w:vAlign w:val="top"/>
          </w:tcPr>
          <w:p>
            <w:pPr>
              <w:spacing w:after="40"/>
            </w:pPr>
            <w:r>
              <w:t xml:space="preserve">Nombre, descripción, categoría y método de pago</w:t>
            </w:r>
          </w:p>
        </w:tc>
        <w:tc>
          <w:tcPr>
            <w:tcW w:w="3626" w:type="dxa"/>
            <w:vAlign w:val="top"/>
          </w:tcPr>
          <w:p>
            <w:pPr>
              <w:spacing w:after="40"/>
            </w:pPr>
            <w:r>
              <w:t xml:space="preserve">Nombre/descripción son texto libre; categoría y método son listas que el usuario edita.</w:t>
            </w:r>
          </w:p>
        </w:tc>
      </w:tr>
      <w:tr>
        <w:tc>
          <w:tcPr>
            <w:tcW w:w="2000" w:type="dxa"/>
            <w:vAlign w:val="top"/>
          </w:tcPr>
          <w:p>
            <w:pPr>
              <w:spacing w:after="40"/>
            </w:pPr>
            <w:r>
              <w:rPr>
                <w:b/>
                <w:bCs/>
              </w:rPr>
              <w:t xml:space="preserve">renderHistorial — pestaña Ingresos</w:t>
            </w:r>
          </w:p>
        </w:tc>
        <w:tc>
          <w:tcPr>
            <w:tcW w:w="3400" w:type="dxa"/>
            <w:vAlign w:val="top"/>
          </w:tcPr>
          <w:p>
            <w:pPr>
              <w:spacing w:after="40"/>
            </w:pPr>
            <w:r>
              <w:t xml:space="preserve">Nombre, fuente y descripción</w:t>
            </w:r>
          </w:p>
        </w:tc>
        <w:tc>
          <w:tcPr>
            <w:tcW w:w="3626" w:type="dxa"/>
            <w:vAlign w:val="top"/>
          </w:tcPr>
          <w:p>
            <w:pPr>
              <w:spacing w:after="40"/>
            </w:pPr>
            <w:r>
              <w:t xml:space="preserve">Mismo criterio que Gastos, con fuente de ingreso en vez de categoría/método.</w:t>
            </w:r>
          </w:p>
        </w:tc>
      </w:tr>
      <w:tr>
        <w:tc>
          <w:tcPr>
            <w:tcW w:w="2000" w:type="dxa"/>
            <w:vAlign w:val="top"/>
          </w:tcPr>
          <w:p>
            <w:pPr>
              <w:spacing w:after="40"/>
            </w:pPr>
            <w:r>
              <w:rPr>
                <w:b/>
                <w:bCs/>
              </w:rPr>
              <w:t xml:space="preserve">renderHistorial — pestaña Todo</w:t>
            </w:r>
          </w:p>
        </w:tc>
        <w:tc>
          <w:tcPr>
            <w:tcW w:w="3400" w:type="dxa"/>
            <w:vAlign w:val="top"/>
          </w:tcPr>
          <w:p>
            <w:pPr>
              <w:spacing w:after="40"/>
            </w:pPr>
            <w:r>
              <w:t xml:space="preserve">Nombre, fuente, descripción, categoría, método, y nombre de cuenta (ruta de una transferencia)</w:t>
            </w:r>
          </w:p>
        </w:tc>
        <w:tc>
          <w:tcPr>
            <w:tcW w:w="3626" w:type="dxa"/>
            <w:vAlign w:val="top"/>
          </w:tcPr>
          <w:p>
            <w:pPr>
              <w:spacing w:after="40"/>
            </w:pPr>
            <w:r>
              <w:t xml:space="preserve">Une los campos de Gastos/Ingresos más el nombre de cuenta en la fila de transferencias.</w:t>
            </w:r>
          </w:p>
        </w:tc>
      </w:tr>
      <w:tr>
        <w:tc>
          <w:tcPr>
            <w:tcW w:w="2000" w:type="dxa"/>
            <w:vAlign w:val="top"/>
          </w:tcPr>
          <w:p>
            <w:pPr>
              <w:spacing w:after="40"/>
            </w:pPr>
            <w:r>
              <w:rPr>
                <w:b/>
                <w:bCs/>
              </w:rPr>
              <w:t xml:space="preserve">renderCuotas</w:t>
            </w:r>
          </w:p>
        </w:tc>
        <w:tc>
          <w:tcPr>
            <w:tcW w:w="3400" w:type="dxa"/>
            <w:vAlign w:val="top"/>
          </w:tcPr>
          <w:p>
            <w:pPr>
              <w:spacing w:after="40"/>
            </w:pPr>
            <w:r>
              <w:t xml:space="preserve">Descripción y categoría de la compra a crédito (tarjeta de cuota)</w:t>
            </w:r>
          </w:p>
        </w:tc>
        <w:tc>
          <w:tcPr>
            <w:tcW w:w="3626" w:type="dxa"/>
            <w:vAlign w:val="top"/>
          </w:tcPr>
          <w:p>
            <w:pPr>
              <w:spacing w:after="40"/>
            </w:pPr>
            <w:r>
              <w:t xml:space="preserve">El usuario las escribe/elige al registrar la compra.</w:t>
            </w:r>
          </w:p>
        </w:tc>
      </w:tr>
      <w:tr>
        <w:tc>
          <w:tcPr>
            <w:tcW w:w="2000" w:type="dxa"/>
            <w:vAlign w:val="top"/>
          </w:tcPr>
          <w:p>
            <w:pPr>
              <w:spacing w:after="40"/>
            </w:pPr>
            <w:r>
              <w:rPr>
                <w:b/>
                <w:bCs/>
              </w:rPr>
              <w:t xml:space="preserve">catIcon</w:t>
            </w:r>
          </w:p>
        </w:tc>
        <w:tc>
          <w:tcPr>
            <w:tcW w:w="3400" w:type="dxa"/>
            <w:vAlign w:val="top"/>
          </w:tcPr>
          <w:p>
            <w:pPr>
              <w:spacing w:after="40"/>
            </w:pPr>
            <w:r>
              <w:t xml:space="preserve">Emoji personalizado de categoría</w:t>
            </w:r>
          </w:p>
        </w:tc>
        <w:tc>
          <w:tcPr>
            <w:tcW w:w="3626" w:type="dxa"/>
            <w:vAlign w:val="top"/>
          </w:tcPr>
          <w:p>
            <w:pPr>
              <w:spacing w:after="40"/>
            </w:pPr>
            <w:r>
              <w:t xml:space="preserve">Campo de texto libre (input con maxlength=6 solo a nivel de UI — sin límite si se restaura un respaldo JSON editado a mano).</w:t>
            </w:r>
          </w:p>
        </w:tc>
      </w:tr>
      <w:tr>
        <w:tc>
          <w:tcPr>
            <w:tcW w:w="2000" w:type="dxa"/>
            <w:vAlign w:val="top"/>
          </w:tcPr>
          <w:p>
            <w:pPr>
              <w:spacing w:after="40"/>
            </w:pPr>
            <w:r>
              <w:rPr>
                <w:b/>
                <w:bCs/>
              </w:rPr>
              <w:t xml:space="preserve">renderConfigList</w:t>
            </w:r>
          </w:p>
        </w:tc>
        <w:tc>
          <w:tcPr>
            <w:tcW w:w="3400" w:type="dxa"/>
            <w:vAlign w:val="top"/>
          </w:tcPr>
          <w:p>
            <w:pPr>
              <w:spacing w:after="40"/>
            </w:pPr>
            <w:r>
              <w:t xml:space="preserve">Nombre de categoría, método o fuente (lista de Configuración)</w:t>
            </w:r>
          </w:p>
        </w:tc>
        <w:tc>
          <w:tcPr>
            <w:tcW w:w="3626" w:type="dxa"/>
            <w:vAlign w:val="top"/>
          </w:tcPr>
          <w:p>
            <w:pPr>
              <w:spacing w:after="40"/>
            </w:pPr>
            <w:r>
              <w:t xml:space="preserve">El usuario los crea y renombra libremente.</w:t>
            </w:r>
          </w:p>
        </w:tc>
      </w:tr>
      <w:tr>
        <w:tc>
          <w:tcPr>
            <w:tcW w:w="2000" w:type="dxa"/>
            <w:vAlign w:val="top"/>
          </w:tcPr>
          <w:p>
            <w:pPr>
              <w:spacing w:after="40"/>
            </w:pPr>
            <w:r>
              <w:rPr>
                <w:b/>
                <w:bCs/>
              </w:rPr>
              <w:t xml:space="preserve">renderCuentasList</w:t>
            </w:r>
          </w:p>
        </w:tc>
        <w:tc>
          <w:tcPr>
            <w:tcW w:w="3400" w:type="dxa"/>
            <w:vAlign w:val="top"/>
          </w:tcPr>
          <w:p>
            <w:pPr>
              <w:spacing w:after="40"/>
            </w:pPr>
            <w:r>
              <w:t xml:space="preserve">Nombre de cuenta (Configuración → Cuentas)</w:t>
            </w:r>
          </w:p>
        </w:tc>
        <w:tc>
          <w:tcPr>
            <w:tcW w:w="3626" w:type="dxa"/>
            <w:vAlign w:val="top"/>
          </w:tcPr>
          <w:p>
            <w:pPr>
              <w:spacing w:after="40"/>
            </w:pPr>
            <w:r>
              <w:t xml:space="preserve">Mismo campo que poblarSelectCuenta.</w:t>
            </w:r>
          </w:p>
        </w:tc>
      </w:tr>
      <w:tr>
        <w:tc>
          <w:tcPr>
            <w:tcW w:w="2000" w:type="dxa"/>
            <w:vAlign w:val="top"/>
          </w:tcPr>
          <w:p>
            <w:pPr>
              <w:spacing w:after="40"/>
            </w:pPr>
            <w:r>
              <w:rPr>
                <w:b/>
                <w:bCs/>
              </w:rPr>
              <w:t xml:space="preserve">abrirBorrarCuenta</w:t>
            </w:r>
          </w:p>
        </w:tc>
        <w:tc>
          <w:tcPr>
            <w:tcW w:w="3400" w:type="dxa"/>
            <w:vAlign w:val="top"/>
          </w:tcPr>
          <w:p>
            <w:pPr>
              <w:spacing w:after="40"/>
            </w:pPr>
            <w:r>
              <w:t xml:space="preserve">Nombre de cuenta en los &lt;option&gt; de reasignación (movimientos y transferencias)</w:t>
            </w:r>
          </w:p>
        </w:tc>
        <w:tc>
          <w:tcPr>
            <w:tcW w:w="3626" w:type="dxa"/>
            <w:vAlign w:val="top"/>
          </w:tcPr>
          <w:p>
            <w:pPr>
              <w:spacing w:after="40"/>
            </w:pPr>
            <w:r>
              <w:t xml:space="preserve">Mismo campo: nombre de cuenta libre.</w:t>
            </w:r>
          </w:p>
        </w:tc>
      </w:tr>
      <w:tr>
        <w:tc>
          <w:tcPr>
            <w:tcW w:w="2000" w:type="dxa"/>
            <w:vAlign w:val="top"/>
          </w:tcPr>
          <w:p>
            <w:pPr>
              <w:spacing w:after="40"/>
            </w:pPr>
            <w:r>
              <w:rPr>
                <w:b/>
                <w:bCs/>
              </w:rPr>
              <w:t xml:space="preserve">renderAccountSelector</w:t>
            </w:r>
          </w:p>
        </w:tc>
        <w:tc>
          <w:tcPr>
            <w:tcW w:w="3400" w:type="dxa"/>
            <w:vAlign w:val="top"/>
          </w:tcPr>
          <w:p>
            <w:pPr>
              <w:spacing w:after="40"/>
            </w:pPr>
            <w:r>
              <w:t xml:space="preserve">Nombre de cuenta en el menú desplegable del encabezado</w:t>
            </w:r>
          </w:p>
        </w:tc>
        <w:tc>
          <w:tcPr>
            <w:tcW w:w="3626" w:type="dxa"/>
            <w:vAlign w:val="top"/>
          </w:tcPr>
          <w:p>
            <w:pPr>
              <w:spacing w:after="40"/>
            </w:pPr>
            <w:r>
              <w:t xml:space="preserve">Mismo campo: nombre de cuenta libre.</w:t>
            </w:r>
          </w:p>
        </w:tc>
      </w:tr>
      <w:tr>
        <w:tc>
          <w:tcPr>
            <w:tcW w:w="2000" w:type="dxa"/>
            <w:vAlign w:val="top"/>
          </w:tcPr>
          <w:p>
            <w:pPr>
              <w:spacing w:after="40"/>
            </w:pPr>
            <w:r>
              <w:rPr>
                <w:b/>
                <w:bCs/>
              </w:rPr>
              <w:t xml:space="preserve">renderPieChart / renderBarChart</w:t>
            </w:r>
          </w:p>
        </w:tc>
        <w:tc>
          <w:tcPr>
            <w:tcW w:w="3400" w:type="dxa"/>
            <w:vAlign w:val="top"/>
          </w:tcPr>
          <w:p>
            <w:pPr>
              <w:spacing w:after="40"/>
            </w:pPr>
            <w:r>
              <w:t xml:space="preserve">Etiqueta (label) del gráfico de torta/barra — categoría, fuente o nombre de meta según la pantalla que invoque el gráfico</w:t>
            </w:r>
          </w:p>
        </w:tc>
        <w:tc>
          <w:tcPr>
            <w:tcW w:w="3626" w:type="dxa"/>
            <w:vAlign w:val="top"/>
          </w:tcPr>
          <w:p>
            <w:pPr>
              <w:spacing w:after="40"/>
            </w:pPr>
            <w:r>
              <w:t xml:space="preserve">Fuente única compartida por Resumen, Historial y Metas; un solo fix cubrió las 3 pantallas.</w:t>
            </w:r>
          </w:p>
        </w:tc>
      </w:tr>
    </w:tbl>
    <w:p>
      <w:pPr>
        <w:spacing w:after="160"/>
      </w:pPr>
    </w:p>
    <w:p>
      <w:pPr>
        <w:pStyle w:val="Heading2"/>
        <w:spacing w:before="200" w:after="120"/>
      </w:pPr>
      <w:r>
        <w:t xml:space="preserve">2.3 Puntos descartados — no se tocaron</w:t>
      </w:r>
    </w:p>
    <w:p>
      <w:pPr>
        <w:pStyle w:val="ListParagraph"/>
        <w:numPr>
          <w:ilvl w:val="0"/>
          <w:numId w:val="1"/>
        </w:numPr>
        <w:spacing w:after="100"/>
      </w:pPr>
      <w:r>
        <w:rPr>
          <w:b/>
          <w:bCs/>
        </w:rPr>
        <w:t xml:space="preserve">renderObPaso6 — </w:t>
      </w:r>
      <w:r>
        <w:t xml:space="preserve">`m.nombre` viene de `METAS_SUGERIDAS`, una constante fija de 8 metas predefinidas por el código (Fondo de emergencia, Vacaciones/Viaje, etc.), no de texto ingresado por nadie.</w:t>
      </w:r>
    </w:p>
    <w:p>
      <w:pPr>
        <w:pStyle w:val="ListParagraph"/>
        <w:numPr>
          <w:ilvl w:val="0"/>
          <w:numId w:val="1"/>
        </w:numPr>
        <w:spacing w:after="100"/>
      </w:pPr>
      <w:r>
        <w:rPr>
          <w:b/>
          <w:bCs/>
        </w:rPr>
        <w:t xml:space="preserve">renderObPaso4 — </w:t>
      </w:r>
      <w:r>
        <w:t xml:space="preserve">mismo caso: `g.nombre` viene de `GASTOS_FIJOS_SUGERIDOS` (Arriendo, Cuenta de luz, etc.), otra constante fija de la misma sección de onboarding.</w:t>
      </w:r>
    </w:p>
    <w:p>
      <w:pPr>
        <w:spacing w:after="160"/>
      </w:pPr>
      <w:r>
        <w:t xml:space="preserve">Advertencia: si alguna de estas dos listas alguna vez pasa a poblarse desde configuración de usuario o backend (por ejemplo, metas o gastos sugeridos personalizados por perfil), este punto debe revisarse de nuevo — dejaría de ser una constante segura.</w:t>
      </w:r>
    </w:p>
    <w:p>
      <w:pPr>
        <w:pStyle w:val="Heading2"/>
        <w:spacing w:before="200" w:after="120"/>
      </w:pPr>
      <w:r>
        <w:t xml:space="preserve">2.4 Método de verificación</w:t>
      </w:r>
    </w:p>
    <w:p>
      <w:pPr>
        <w:spacing w:after="160"/>
      </w:pPr>
      <w:r>
        <w:t xml:space="preserve">Se probó con el payload real `&lt;img src=x onerror=alert(1)&gt;` inyectado directamente en `state` vía consola (cuenta, categoría, fuente, descripción de gasto/ingreso, nombre de meta, descripción/categoría de cuota) sobre una copia local servida con `python -m http.server`, en 3 rondas de siembra distintas.</w:t>
      </w:r>
    </w:p>
    <w:p>
      <w:pPr>
        <w:spacing w:after="160"/>
      </w:pPr>
      <w:r>
        <w:t xml:space="preserve">Pantallas verificadas: Resumen (lista, torta, barra), "Ingresos/Gastos · Top 3", "Gasto por categoría", "Categorías en alerta", "Categoría con mayor variación", Historial (las 3 pestañas — Gastos, Ingresos, Todo, incluida la fila de transferencia), Cuotas, Metas (lista, torta, barra), selects de cuenta (`gCuenta`, `tDestino`), Configuración → Cuentas, Configuración → Categorías/Métodos/Fuentes.</w:t>
      </w:r>
    </w:p>
    <w:p>
      <w:pPr>
        <w:spacing w:after="160"/>
      </w:pPr>
      <w:r>
        <w:t xml:space="preserve">Resultado explícito de la verificación: en cada pantalla, `document.querySelectorAll('img[src="x"]').length === 0` — cero elementos &lt;img&gt; reales creados — y el payload apareció como texto literal (`&amp;lt;img src=x onerror=alert(1)&amp;gt;` en el HTML fuente). Se detectaron y corrigieron en el camino 2 fugas reales confirmadas por esta prueba, no solo por lectura de código: peticiones de red reales a `/x` que delataron `renderPieChart`/`renderBarChart` sin escapar, y el bloque "Categorías en alerta" de `renderInsights` mostrando el aviso sin el nombre de categoría visible (el &lt;img&gt; real no aportaba texto).</w:t>
      </w:r>
    </w:p>
    <w:p>
      <w:pPr>
        <w:spacing w:after="160"/>
      </w:pPr>
      <w:r>
        <w:t xml:space="preserve">Nombres normales sin caracteres especiales se verificaron sin cambios visuales; un nombre de cuenta con `&amp;` ("Cuenta Principal &amp; Ahorros") se confirmó vía `textContent` que se sigue viendo exactamente igual, sin `&amp;amp;` literal. Los &lt;select&gt; de cuenta se verificaron funcionalmente: el texto visible queda escapado pero `.value` sigue resolviendo al id real (`tDestino.value === 'acc-xss'`), confirmando que la selección no se rompe.</w:t>
      </w:r>
    </w:p>
    <w:p>
      <w:pPr>
        <w:pStyle w:val="Heading2"/>
        <w:spacing w:before="200" w:after="120"/>
      </w:pPr>
      <w:r>
        <w:t xml:space="preserve">2.5 Nota de método — aprendizaje para la próxima vez</w:t>
      </w:r>
    </w:p>
    <w:p>
      <w:pPr>
        <w:spacing w:after="160"/>
      </w:pPr>
      <w:r>
        <w:t xml:space="preserve">La auditoría manual inicial (grep dirigido + lectura de código) encontró 10 de los aproximadamente 20 puntos reales — y de esos 10, uno no aplicaba (constante fija), dejando 9 certeros de ~20: menos de la mitad. El resto se descubrió recién durante la ejecución, por dos vías distintas: (a) un grep amplio de variantes de nombre de campo (`.nombre`, `.category`, `.source`, etc.) cruzado contra `innerHTML`, y (b) evidencia directa de la prueba con payload real — las peticiones a `/x` y el texto faltante en "Categorías en alerta" — que expuso fugas que ni el grep dirigido ni la lectura de código habían capturado. Para la próxima vez que se busque este tipo de patrón (texto de usuario sin escapar, validación faltante, etc.) conviene invertir el orden: partir de un grep sistemático de todas las combinaciones "innerHTML" + "${" como método principal de descubrimiento, y usar la lectura de código solo para confirmar o descartar cada resultado — no como método de descubrimiento principal.</w:t>
      </w:r>
    </w:p>
    <w:p>
      <w:pPr>
        <w:pStyle w:val="Heading2"/>
        <w:spacing w:before="200" w:after="120"/>
      </w:pPr>
      <w:r>
        <w:t xml:space="preserve">2.6 Cierre</w:t>
      </w:r>
    </w:p>
    <w:p>
      <w:pPr>
        <w:spacing w:after="160"/>
      </w:pPr>
      <w:r>
        <w:t xml:space="preserve">Commit `5204d81` — "Tanda T6: escapar HTML en texto de usuario para prevenir XSS almacenado", pusheado a `origin/main`. Confirmado activo en producción: `https://telora.cl` sirve el bundle con `escHtml` ya presente (verificado ejecutando `escHtml('&lt;img src=x onerror=alert(1)&gt;')` directamente en la consola del sitio en vivo, que devolvió la cadena correctamente escapada).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Carlos</cp:lastModifiedBy>
  <cp:revision>1</cp:revision>
  <dcterms:created xsi:type="dcterms:W3CDTF">2026-09-13T00:35:27.679Z</dcterms:created>
  <dcterms:modified xsi:type="dcterms:W3CDTF">2026-09-13T00:35:27.689Z</dcterms:modified>
</cp:coreProperties>
</file>

<file path=docProps/custom.xml><?xml version="1.0" encoding="utf-8"?>
<Properties xmlns="http://schemas.openxmlformats.org/officeDocument/2006/custom-properties" xmlns:vt="http://schemas.openxmlformats.org/officeDocument/2006/docPropsVTypes"/>
</file>