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Calibri" w:cs="Calibri" w:eastAsia="Calibri" w:hAnsi="Calibri"/>
          <w:b/>
          <w:bCs/>
          <w:sz w:val="32"/>
          <w:szCs w:val="32"/>
        </w:rPr>
        <w:t xml:space="preserve">MisFinanzas (Telora)</w:t>
      </w:r>
    </w:p>
    <w:p>
      <w:pPr>
        <w:spacing w:after="300"/>
      </w:pPr>
      <w:r>
        <w:rPr>
          <w:rFonts w:ascii="Calibri" w:cs="Calibri" w:eastAsia="Calibri" w:hAnsi="Calibri"/>
          <w:i/>
          <w:iCs/>
          <w:color w:val="555555"/>
          <w:sz w:val="22"/>
          <w:szCs w:val="22"/>
        </w:rPr>
        <w:t xml:space="preserve">Resumen del día — 24 de septiembre de 2026 (Día 15)</w:t>
      </w:r>
    </w:p>
    <w:p>
      <w:pPr>
        <w:pStyle w:val="Heading2"/>
        <w:spacing w:after="120" w:before="280"/>
      </w:pPr>
      <w:r>
        <w:rPr>
          <w:rFonts w:ascii="Calibri" w:cs="Calibri" w:eastAsia="Calibri" w:hAnsi="Calibri"/>
          <w:b/>
          <w:bCs/>
          <w:sz w:val="26"/>
          <w:szCs w:val="26"/>
        </w:rPr>
        <w:t xml:space="preserve">1. Cierre completo de la lista pendiente del Día 14</w:t>
      </w:r>
    </w:p>
    <w:p>
      <w:pPr>
        <w:spacing w:after="160"/>
      </w:pPr>
      <w:r>
        <w:rPr>
          <w:rFonts w:ascii="Calibri" w:cs="Calibri" w:eastAsia="Calibri" w:hAnsi="Calibri"/>
          <w:sz w:val="22"/>
          <w:szCs w:val="22"/>
        </w:rPr>
        <w:t xml:space="preserve">El día arrancó auditando los siete puntos que había dejado abiertos el Anexo del Día 14, verificando cada uno contra el código y el repositorio reales antes de darlos por resueltos — varios resultaron ya cerrados o desactualizados respecto a lo que decía el propio resumen anterior.</w:t>
      </w:r>
    </w:p>
    <w:p>
      <w:pPr>
        <w:spacing w:after="160"/>
      </w:pPr>
      <w:r>
        <w:rPr>
          <w:rFonts w:ascii="Calibri" w:cs="Calibri" w:eastAsia="Calibri" w:hAnsi="Calibri"/>
          <w:b/>
          <w:bCs/>
          <w:sz w:val="22"/>
          <w:szCs w:val="22"/>
        </w:rPr>
        <w:t xml:space="preserve">Auditoría de commits sin documentar — </w:t>
      </w:r>
      <w:r>
        <w:rPr>
          <w:rFonts w:ascii="Calibri" w:cs="Calibri" w:eastAsia="Calibri" w:hAnsi="Calibri"/>
          <w:sz w:val="22"/>
          <w:szCs w:val="22"/>
        </w:rPr>
        <w:t xml:space="preserve">los commits d0ebcb6 y a23dabf (reorganización de archivos) se confirmaron como renames legítimos de documentación a subcarpetas Develop/; el único hallazgo real fue la reaparición de Develop/Dia 2/index2.html, confirmado como el prototipo histórico de la fase de Metas (pre multi-cuenta, pre cierre de mes), sin riesgo para producción.</w:t>
      </w:r>
    </w:p>
    <w:p>
      <w:pPr>
        <w:spacing w:after="160"/>
      </w:pPr>
      <w:r>
        <w:rPr>
          <w:rFonts w:ascii="Calibri" w:cs="Calibri" w:eastAsia="Calibri" w:hAnsi="Calibri"/>
          <w:b/>
          <w:bCs/>
          <w:sz w:val="22"/>
          <w:szCs w:val="22"/>
        </w:rPr>
        <w:t xml:space="preserve">Incidente de automatización del 13-09 — </w:t>
      </w:r>
      <w:r>
        <w:rPr>
          <w:rFonts w:ascii="Calibri" w:cs="Calibri" w:eastAsia="Calibri" w:hAnsi="Calibri"/>
          <w:sz w:val="22"/>
          <w:szCs w:val="22"/>
        </w:rPr>
        <w:t xml:space="preserve">se comparó config.categorias entre los respaldos del 11-09 y el 16-09: idéntico en nombre y orden. Se cerró con evidencia, no solo por ausencia de daño visible como había quedado el Día 14.</w:t>
      </w:r>
    </w:p>
    <w:p>
      <w:pPr>
        <w:spacing w:after="160"/>
      </w:pPr>
      <w:r>
        <w:rPr>
          <w:rFonts w:ascii="Calibri" w:cs="Calibri" w:eastAsia="Calibri" w:hAnsi="Calibri"/>
          <w:b/>
          <w:bCs/>
          <w:sz w:val="22"/>
          <w:szCs w:val="22"/>
        </w:rPr>
        <w:t xml:space="preserve">Fuentes de ingreso perdidas — </w:t>
      </w:r>
      <w:r>
        <w:rPr>
          <w:rFonts w:ascii="Calibri" w:cs="Calibri" w:eastAsia="Calibri" w:hAnsi="Calibri"/>
          <w:sz w:val="22"/>
          <w:szCs w:val="22"/>
        </w:rPr>
        <w:t xml:space="preserve">el respaldo del 16-09 confirmó que config.fuentes seguía en ['Otros'], pese a que el fix del onboarding (Día 14) ya estaba aplicado — el fix corrige hacia adelante, no repone lo ya perdido. Se descartó la reposición manual a favor de una reconciliación automática: reconciliarFuentesConDatos(), agregada a loadState(), que repone en config.fuentes cualquier fuente que los ingresos reales sigan referenciando. Nunca resucita una fuente borrada intencionalmente (Tanda W ya reasigna los ingresos antes de borrar). 4 asserts nuevos en tests.html, incluido un caso que reproduce el mecanismo real de borrado con reasignación. Suite 71/71.</w:t>
      </w:r>
    </w:p>
    <w:p>
      <w:pPr>
        <w:spacing w:after="160"/>
      </w:pPr>
      <w:r>
        <w:rPr>
          <w:rFonts w:ascii="Calibri" w:cs="Calibri" w:eastAsia="Calibri" w:hAnsi="Calibri"/>
          <w:b/>
          <w:bCs/>
          <w:sz w:val="22"/>
          <w:szCs w:val="22"/>
        </w:rPr>
        <w:t xml:space="preserve">Cobertura de tests para "Resumen como imagen" — </w:t>
      </w:r>
      <w:r>
        <w:rPr>
          <w:rFonts w:ascii="Calibri" w:cs="Calibri" w:eastAsia="Calibri" w:hAnsi="Calibri"/>
          <w:sz w:val="22"/>
          <w:szCs w:val="22"/>
        </w:rPr>
        <w:t xml:space="preserve">generarResumenImagen() mezclaba cálculo y dibujo en canvas, imposible de testear directamente. Se extrajo prepararDatosResumenImagen() como función pura (totales, agrupación de categorías, mesLabel/ctaLabel), dejando el dibujo intacto. 6 bloques de test nuevos (7 asserts). Suite 60→67.</w:t>
      </w:r>
    </w:p>
    <w:p>
      <w:pPr>
        <w:spacing w:after="160"/>
      </w:pPr>
      <w:r>
        <w:rPr>
          <w:rFonts w:ascii="Calibri" w:cs="Calibri" w:eastAsia="Calibri" w:hAnsi="Calibri"/>
          <w:b/>
          <w:bCs/>
          <w:sz w:val="22"/>
          <w:szCs w:val="22"/>
        </w:rPr>
        <w:t xml:space="preserve">Regla de automatización contra producción — </w:t>
      </w:r>
      <w:r>
        <w:rPr>
          <w:rFonts w:ascii="Calibri" w:cs="Calibri" w:eastAsia="Calibri" w:hAnsi="Calibri"/>
          <w:sz w:val="22"/>
          <w:szCs w:val="22"/>
        </w:rPr>
        <w:t xml:space="preserve">confirmado por lectura directa que la regla (evitar automatización local contra telora.cl) nunca se había agregado a guia_prompts_claude_code_telora.md pese a que el resumen del Día 14 la daba por hecha. Agregada, junto a la regla de localStorage entre sesiones que sí estaba.</w:t>
      </w:r>
    </w:p>
    <w:p>
      <w:pPr>
        <w:spacing w:after="160"/>
      </w:pPr>
      <w:r>
        <w:rPr>
          <w:rFonts w:ascii="Calibri" w:cs="Calibri" w:eastAsia="Calibri" w:hAnsi="Calibri"/>
          <w:b/>
          <w:bCs/>
          <w:sz w:val="22"/>
          <w:szCs w:val="22"/>
        </w:rPr>
        <w:t xml:space="preserve">Hallazgo 5 de Configuración — </w:t>
      </w:r>
      <w:r>
        <w:rPr>
          <w:rFonts w:ascii="Calibri" w:cs="Calibri" w:eastAsia="Calibri" w:hAnsi="Calibri"/>
          <w:sz w:val="22"/>
          <w:szCs w:val="22"/>
        </w:rPr>
        <w:t xml:space="preserve">se mockearon dos opciones (Opción A: aplanar el acordeón "Tus datos"; Opción B: buscador en listas largas) como artboards interactivos antes de decidir. Con 12 categorías reales, se descartó el buscador por bajo volumen y se implementó la Opción A: los cinco sub-acordeones de "Tus datos" (Categorías, Métodos, Fuentes, Cuentas, Mes de inicio) pasan a nivel superior, mismo orden interno.</w:t>
      </w:r>
    </w:p>
    <w:p>
      <w:pPr>
        <w:spacing w:after="160"/>
      </w:pPr>
      <w:r>
        <w:rPr>
          <w:rFonts w:ascii="Calibri" w:cs="Calibri" w:eastAsia="Calibri" w:hAnsi="Calibri"/>
          <w:b/>
          <w:bCs/>
          <w:sz w:val="22"/>
          <w:szCs w:val="22"/>
        </w:rPr>
        <w:t xml:space="preserve">Rebranding MisFinanzas → Telora — </w:t>
      </w:r>
      <w:r>
        <w:rPr>
          <w:rFonts w:ascii="Calibri" w:cs="Calibri" w:eastAsia="Calibri" w:hAnsi="Calibri"/>
          <w:sz w:val="22"/>
          <w:szCs w:val="22"/>
        </w:rPr>
        <w:t xml:space="preserve">inventario completo por riesgo (texto visible, metadatos, nombres de archivo exportado, claves de localStorage). Decisión: las claves internas de localStorage y el prefijo de caché de sw.js quedan intactos indefinidamente — son detalle de implementación sin efecto de marca. Aplicado en dos tandas: todo lo visible (título, header, watermark del PNG, manifest.json, nombres de archivo exportado) y, por separado, la corrección del link roto en tutorial.html (apuntaba a un dominio de GitHub Pages desactualizado; se confirmó por fetch real que telora.cl es la URL de producción).</w:t>
      </w:r>
    </w:p>
    <w:p>
      <w:pPr>
        <w:pStyle w:val="Heading2"/>
        <w:spacing w:after="120" w:before="280"/>
      </w:pPr>
      <w:r>
        <w:rPr>
          <w:rFonts w:ascii="Calibri" w:cs="Calibri" w:eastAsia="Calibri" w:hAnsi="Calibri"/>
          <w:b/>
          <w:bCs/>
          <w:sz w:val="26"/>
          <w:szCs w:val="26"/>
        </w:rPr>
        <w:t xml:space="preserve">2. Protocolo de verificación establecido con Claude Code</w:t>
      </w:r>
    </w:p>
    <w:p>
      <w:pPr>
        <w:spacing w:after="160"/>
      </w:pPr>
      <w:r>
        <w:rPr>
          <w:rFonts w:ascii="Calibri" w:cs="Calibri" w:eastAsia="Calibri" w:hAnsi="Calibri"/>
          <w:sz w:val="22"/>
          <w:szCs w:val="22"/>
        </w:rPr>
        <w:t xml:space="preserve">A partir de la primera tanda de código real del día, se fijó un protocolo que se sostuvo el resto de la jornada: para cualquier cambio que toque estructura, lógica o datos (no solo texto), Claude Code debe entregar el diff crudo completo (git diff, sin resumir) antes de cualquier aprobación de commit. Un resumen narrado, por detallado que sea, no sustituye ver el texto real — se detectaron más de una vez discrepancias entre lo reportado y lo commiteado (un mensaje de commit que afirmaba verificación no realizada, un diff que quedó en la salida de una herramienta y nunca llegó al mensaje). El criterio de cuándo exigir diff crudo quedó explícito: alto para estructura/lógica/datos, más laxo para documentación o comentarios.</w:t>
      </w:r>
    </w:p>
    <w:p>
      <w:pPr>
        <w:pStyle w:val="Heading2"/>
        <w:spacing w:after="120" w:before="280"/>
      </w:pPr>
      <w:r>
        <w:rPr>
          <w:rFonts w:ascii="Calibri" w:cs="Calibri" w:eastAsia="Calibri" w:hAnsi="Calibri"/>
          <w:b/>
          <w:bCs/>
          <w:sz w:val="26"/>
          <w:szCs w:val="26"/>
        </w:rPr>
        <w:t xml:space="preserve">3. Arranque de la Etapa 2: sistema multiusuario</w:t>
      </w:r>
    </w:p>
    <w:p>
      <w:pPr>
        <w:spacing w:after="160"/>
      </w:pPr>
      <w:r>
        <w:rPr>
          <w:rFonts w:ascii="Calibri" w:cs="Calibri" w:eastAsia="Calibri" w:hAnsi="Calibri"/>
          <w:sz w:val="22"/>
          <w:szCs w:val="22"/>
        </w:rPr>
        <w:t xml:space="preserve">Con la lista del Día 14 cerrada, arrancó la iniciativa grande del día: pasar Telora de app 100% local a multiusuario, motivada por la necesidad de que la configuración de cada persona no se pierda ni se altere entre despliegues.</w:t>
      </w:r>
    </w:p>
    <w:p>
      <w:pPr>
        <w:spacing w:after="160"/>
      </w:pPr>
      <w:r>
        <w:rPr>
          <w:rFonts w:ascii="Calibri" w:cs="Calibri" w:eastAsia="Calibri" w:hAnsi="Calibri"/>
          <w:b/>
          <w:bCs/>
          <w:sz w:val="22"/>
          <w:szCs w:val="22"/>
        </w:rPr>
        <w:t xml:space="preserve">Entrevista estructurada previa a construir — </w:t>
      </w:r>
      <w:r>
        <w:rPr>
          <w:rFonts w:ascii="Calibri" w:cs="Calibri" w:eastAsia="Calibri" w:hAnsi="Calibri"/>
          <w:sz w:val="22"/>
          <w:szCs w:val="22"/>
        </w:rPr>
        <w:t xml:space="preserve">antes de tocar código se definieron, uno por uno: terminología ("cuenta financiera" para el multi-cuenta interno ya existente vs. "cuenta de usuario" para el login, para evitar la colisión de nombres), backend elegido (Supabase, ya conectado como MCP en el workspace), método de acceso (Google Sign-In, por fricción cero y por no depender del límite de envío de correo del plan gratuito), alcance (multiusuario real, no solo respaldo de un único perfil), diseño offline-first no negociable (todo sigue guardándose instantáneo en localStorage, la nube es respaldo en segundo plano), comportamiento multi-dispositivo (reflejo en tiempo real vía Supabase Realtime), y la regla de resolución de choques: Telora detecta y muestra el conflicto, nunca lo resuelve en silencio salvo coincidencia exacta byte a byte en los campos comparables.</w:t>
      </w:r>
    </w:p>
    <w:p>
      <w:pPr>
        <w:spacing w:after="160"/>
      </w:pPr>
      <w:r>
        <w:rPr>
          <w:rFonts w:ascii="Calibri" w:cs="Calibri" w:eastAsia="Calibri" w:hAnsi="Calibri"/>
          <w:b/>
          <w:bCs/>
          <w:sz w:val="22"/>
          <w:szCs w:val="22"/>
        </w:rPr>
        <w:t xml:space="preserve">Esquema de datos diseñado y aprobado — </w:t>
      </w:r>
      <w:r>
        <w:rPr>
          <w:rFonts w:ascii="Calibri" w:cs="Calibri" w:eastAsia="Calibri" w:hAnsi="Calibri"/>
          <w:sz w:val="22"/>
          <w:szCs w:val="22"/>
        </w:rPr>
        <w:t xml:space="preserve">nueve tablas en Postgres, normalizadas por tipo de registro (no un blob JSON único, porque la detección de choque es por registro): expenses, incomes, debts, goals, goal_aportes (tabla propia, no anidada, para que un aporte no genere un choque falso sobre la meta entera), cuentas_financieras, transfers, config_compartida (una fila por usuario) y config_dispositivo (una fila por usuario + dispositivo — paleta, tamaño de letra y demás preferencias visuales nunca se sincronizan como valor único entre dispositivos, aunque sí se respaldan). Todas con seguridad por fila (RLS): cada usuario solo lee o escribe sus propias filas. updated_at puesto siempre por el servidor, nunca por el cliente, para la detección de choque.</w:t>
      </w:r>
    </w:p>
    <w:p>
      <w:pPr>
        <w:pStyle w:val="Heading2"/>
        <w:spacing w:after="120" w:before="280"/>
      </w:pPr>
      <w:r>
        <w:rPr>
          <w:rFonts w:ascii="Calibri" w:cs="Calibri" w:eastAsia="Calibri" w:hAnsi="Calibri"/>
          <w:b/>
          <w:bCs/>
          <w:sz w:val="26"/>
          <w:szCs w:val="26"/>
        </w:rPr>
        <w:t xml:space="preserve">4. Configuración de infraestructura (Google Cloud + Supabase)</w:t>
      </w:r>
    </w:p>
    <w:p>
      <w:pPr>
        <w:spacing w:after="160"/>
      </w:pPr>
      <w:r>
        <w:rPr>
          <w:rFonts w:ascii="Calibri" w:cs="Calibri" w:eastAsia="Calibri" w:hAnsi="Calibri"/>
          <w:sz w:val="22"/>
          <w:szCs w:val="22"/>
        </w:rPr>
        <w:t xml:space="preserve">Guiado paso a paso, en tiempo real, sobre capturas de pantalla reales:</w:t>
      </w:r>
    </w:p>
    <w:p>
      <w:pPr>
        <w:pStyle w:val="ListParagraph"/>
        <w:numPr>
          <w:ilvl w:val="0"/>
          <w:numId w:val="1"/>
        </w:numPr>
        <w:spacing w:after="80"/>
      </w:pPr>
      <w:r>
        <w:rPr>
          <w:rFonts w:ascii="Calibri" w:cs="Calibri" w:eastAsia="Calibri" w:hAnsi="Calibri"/>
          <w:sz w:val="22"/>
          <w:szCs w:val="22"/>
        </w:rPr>
        <w:t xml:space="preserve">Proyecto de Google Cloud (telora-508900) y pantalla de consentimiento OAuth configurada en modo Testing, con los 3 testers agregados como usuarios de prueba (hasta 100 permitidos sin verificación de Google).</w:t>
      </w:r>
    </w:p>
    <w:p>
      <w:pPr>
        <w:pStyle w:val="ListParagraph"/>
        <w:numPr>
          <w:ilvl w:val="0"/>
          <w:numId w:val="1"/>
        </w:numPr>
        <w:spacing w:after="80"/>
      </w:pPr>
      <w:r>
        <w:rPr>
          <w:rFonts w:ascii="Calibri" w:cs="Calibri" w:eastAsia="Calibri" w:hAnsi="Calibri"/>
          <w:sz w:val="22"/>
          <w:szCs w:val="22"/>
        </w:rPr>
        <w:t xml:space="preserve">Credencial OAuth de tipo Web application creada, con orígenes autorizados (https://telora.cl) y URI de redirección.</w:t>
      </w:r>
    </w:p>
    <w:p>
      <w:pPr>
        <w:pStyle w:val="ListParagraph"/>
        <w:numPr>
          <w:ilvl w:val="0"/>
          <w:numId w:val="1"/>
        </w:numPr>
        <w:spacing w:after="80"/>
      </w:pPr>
      <w:r>
        <w:rPr>
          <w:rFonts w:ascii="Calibri" w:cs="Calibri" w:eastAsia="Calibri" w:hAnsi="Calibri"/>
          <w:sz w:val="22"/>
          <w:szCs w:val="22"/>
        </w:rPr>
        <w:t xml:space="preserve">Proyecto de Supabase creado (Telora, región São Paulo, plan Free) — URL real: ekavuxaznjbvrzpxtslz.supabase.co.</w:t>
      </w:r>
    </w:p>
    <w:p>
      <w:pPr>
        <w:pStyle w:val="ListParagraph"/>
        <w:numPr>
          <w:ilvl w:val="0"/>
          <w:numId w:val="1"/>
        </w:numPr>
        <w:spacing w:after="80"/>
      </w:pPr>
      <w:r>
        <w:rPr>
          <w:rFonts w:ascii="Calibri" w:cs="Calibri" w:eastAsia="Calibri" w:hAnsi="Calibri"/>
          <w:sz w:val="22"/>
          <w:szCs w:val="22"/>
        </w:rPr>
        <w:t xml:space="preserve">Proveedor Google activado en Supabase Auth con el Client ID/Secret correctos (se corrigió un error donde el campo Client ID había quedado con el texto "Telora" en vez del valor real).</w:t>
      </w:r>
    </w:p>
    <w:p>
      <w:pPr>
        <w:pStyle w:val="ListParagraph"/>
        <w:numPr>
          <w:ilvl w:val="0"/>
          <w:numId w:val="1"/>
        </w:numPr>
        <w:spacing w:after="80"/>
      </w:pPr>
      <w:r>
        <w:rPr>
          <w:rFonts w:ascii="Calibri" w:cs="Calibri" w:eastAsia="Calibri" w:hAnsi="Calibri"/>
          <w:sz w:val="22"/>
          <w:szCs w:val="22"/>
        </w:rPr>
        <w:t xml:space="preserve">URL Configuration de Supabase corregida (Site URL y Redirect URLs apuntando a telora.cl y localhost, no al valor de ejemplo localhost:3000 que traía por defecto) tras un primer intento fallido con ERR_CONNECTION_REFUSED.</w:t>
      </w:r>
    </w:p>
    <w:p>
      <w:pPr>
        <w:pStyle w:val="ListParagraph"/>
        <w:numPr>
          <w:ilvl w:val="0"/>
          <w:numId w:val="1"/>
        </w:numPr>
        <w:spacing w:after="80"/>
      </w:pPr>
      <w:r>
        <w:rPr>
          <w:rFonts w:ascii="Calibri" w:cs="Calibri" w:eastAsia="Calibri" w:hAnsi="Calibri"/>
          <w:sz w:val="22"/>
          <w:szCs w:val="22"/>
        </w:rPr>
        <w:t xml:space="preserve">Las nueve tablas del esquema creadas de una sola vez vía script SQL, confirmadas visualmente en el Table Editor.</w:t>
      </w:r>
    </w:p>
    <w:p>
      <w:pPr>
        <w:pStyle w:val="Heading2"/>
        <w:spacing w:after="120" w:before="280"/>
      </w:pPr>
      <w:r>
        <w:rPr>
          <w:rFonts w:ascii="Calibri" w:cs="Calibri" w:eastAsia="Calibri" w:hAnsi="Calibri"/>
          <w:b/>
          <w:bCs/>
          <w:sz w:val="26"/>
          <w:szCs w:val="26"/>
        </w:rPr>
        <w:t xml:space="preserve">5. Tanda 1 — Login opcional con Google</w:t>
      </w:r>
    </w:p>
    <w:p>
      <w:pPr>
        <w:spacing w:after="160"/>
      </w:pPr>
      <w:r>
        <w:rPr>
          <w:rFonts w:ascii="Calibri" w:cs="Calibri" w:eastAsia="Calibri" w:hAnsi="Calibri"/>
          <w:b/>
          <w:bCs/>
          <w:sz w:val="22"/>
          <w:szCs w:val="22"/>
        </w:rPr>
        <w:t xml:space="preserve">Diseño — </w:t>
      </w:r>
      <w:r>
        <w:rPr>
          <w:rFonts w:ascii="Calibri" w:cs="Calibri" w:eastAsia="Calibri" w:hAnsi="Calibri"/>
          <w:sz w:val="22"/>
          <w:szCs w:val="22"/>
        </w:rPr>
        <w:t xml:space="preserve">login estrictamente opcional: Telora sigue funcionando 100% local para quien nunca toca el botón. Bloque "Cuenta de usuario" en Configuración, después de "Respaldo de datos". Librería @supabase/supabase-js autohospedada (supabase.min.js), mismo criterio que XLSX — sin CDN externo.</w:t>
      </w:r>
    </w:p>
    <w:p>
      <w:pPr>
        <w:spacing w:after="160"/>
      </w:pPr>
      <w:r>
        <w:rPr>
          <w:rFonts w:ascii="Calibri" w:cs="Calibri" w:eastAsia="Calibri" w:hAnsi="Calibri"/>
          <w:b/>
          <w:bCs/>
          <w:sz w:val="22"/>
          <w:szCs w:val="22"/>
        </w:rPr>
        <w:t xml:space="preserve">Aislamiento — </w:t>
      </w:r>
      <w:r>
        <w:rPr>
          <w:rFonts w:ascii="Calibri" w:cs="Calibri" w:eastAsia="Calibri" w:hAnsi="Calibri"/>
          <w:sz w:val="22"/>
          <w:szCs w:val="22"/>
        </w:rPr>
        <w:t xml:space="preserve">todo el código de autenticación vive en un &lt;script&gt; propio al final del body; un fallo ahí (librería sin cargar, sin conexión, error de Supabase) no puede afectar loadState()/renderAll(). Verificado con una copia temporal apuntando a una librería inexistente: la app arranca idéntica.</w:t>
      </w:r>
    </w:p>
    <w:p>
      <w:pPr>
        <w:spacing w:after="160"/>
      </w:pPr>
      <w:r>
        <w:rPr>
          <w:rFonts w:ascii="Calibri" w:cs="Calibri" w:eastAsia="Calibri" w:hAnsi="Calibri"/>
          <w:b/>
          <w:bCs/>
          <w:sz w:val="22"/>
          <w:szCs w:val="22"/>
        </w:rPr>
        <w:t xml:space="preserve">Verificado en producción real — </w:t>
      </w:r>
      <w:r>
        <w:rPr>
          <w:rFonts w:ascii="Calibri" w:cs="Calibri" w:eastAsia="Calibri" w:hAnsi="Calibri"/>
          <w:sz w:val="22"/>
          <w:szCs w:val="22"/>
        </w:rPr>
        <w:t xml:space="preserve">login completo con Google en telora.cl, con una cuenta de prueba real (databycarlos01@gmail.com) — sesión persiste al recargar, cierre de sesión no toca ninguna clave localStorage.misfinanzas_*, comportamiento correcto sin conexión.</w:t>
      </w:r>
    </w:p>
    <w:p>
      <w:pPr>
        <w:spacing w:after="160"/>
      </w:pPr>
      <w:r>
        <w:rPr>
          <w:rFonts w:ascii="Calibri" w:cs="Calibri" w:eastAsia="Calibri" w:hAnsi="Calibri"/>
          <w:sz w:val="22"/>
          <w:szCs w:val="22"/>
        </w:rPr>
        <w:t xml:space="preserve">Commit 8de0e6d3, commiteado y pusheado.</w:t>
      </w:r>
    </w:p>
    <w:p>
      <w:pPr>
        <w:pStyle w:val="Heading2"/>
        <w:spacing w:after="120" w:before="280"/>
      </w:pPr>
      <w:r>
        <w:rPr>
          <w:rFonts w:ascii="Calibri" w:cs="Calibri" w:eastAsia="Calibri" w:hAnsi="Calibri"/>
          <w:b/>
          <w:bCs/>
          <w:sz w:val="26"/>
          <w:szCs w:val="26"/>
        </w:rPr>
        <w:t xml:space="preserve">6. Tanda extra — Distintivo de usuario en el encabezado</w:t>
      </w:r>
    </w:p>
    <w:p>
      <w:pPr>
        <w:spacing w:after="160"/>
      </w:pPr>
      <w:r>
        <w:rPr>
          <w:rFonts w:ascii="Calibri" w:cs="Calibri" w:eastAsia="Calibri" w:hAnsi="Calibri"/>
          <w:sz w:val="22"/>
          <w:szCs w:val="22"/>
        </w:rPr>
        <w:t xml:space="preserve">Pedido adicional: mostrar quién está usando la app. Avatar circular en el topbar compartido (visible en las 4 pestañas, no solo Resumen) — foto de Google si está disponible, iniciales sobre fondo dorado si no, con fallback automático si la imagen falla o mientras carga. Reutiliza renderCuentaUsuario() existente, sin duplicar lógica de sesión. Verificado en las 4 pestañas a 375px, con y sin sesión, con los cuatro casos de contenido (foto válida, sin foto, solo correo, foto rota). Suite 71/71.</w:t>
      </w:r>
    </w:p>
    <w:p>
      <w:pPr>
        <w:spacing w:after="160"/>
      </w:pPr>
      <w:r>
        <w:rPr>
          <w:rFonts w:ascii="Calibri" w:cs="Calibri" w:eastAsia="Calibri" w:hAnsi="Calibri"/>
          <w:sz w:val="22"/>
          <w:szCs w:val="22"/>
        </w:rPr>
        <w:t xml:space="preserve">Commit 3bbb90a5, commiteado y pusheado.</w:t>
      </w:r>
    </w:p>
    <w:p>
      <w:pPr>
        <w:spacing w:after="160" w:before="200"/>
      </w:pPr>
      <w:r>
        <w:rPr>
          <w:rFonts w:ascii="Calibri" w:cs="Calibri" w:eastAsia="Calibri" w:hAnsi="Calibri"/>
          <w:i/>
          <w:iCs/>
          <w:color w:val="666666"/>
          <w:sz w:val="20"/>
          <w:szCs w:val="20"/>
        </w:rPr>
        <w:t xml:space="preserve">Continúa en Dia16_Resumen.docx — Etapa 2, Tanda 2: subida inicial de datos a la nube.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2026-09-24T14:45:37.979Z</dcterms:created>
  <dcterms:modified xsi:type="dcterms:W3CDTF">2026-09-24T14:45:37.988Z</dcterms:modified>
</cp:coreProperties>
</file>

<file path=docProps/custom.xml><?xml version="1.0" encoding="utf-8"?>
<Properties xmlns="http://schemas.openxmlformats.org/officeDocument/2006/custom-properties" xmlns:vt="http://schemas.openxmlformats.org/officeDocument/2006/docPropsVTypes"/>
</file>