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C1F2E"/>
          <w:sz w:val="44"/>
          <w:szCs w:val="44"/>
        </w:rPr>
        <w:t xml:space="preserve">MisFinanzas</w:t>
      </w:r>
    </w:p>
    <w:p>
      <w:pPr>
        <w:spacing w:after="300"/>
        <w:jc w:val="center"/>
      </w:pPr>
      <w:r>
        <w:rPr>
          <w:i/>
          <w:iCs/>
          <w:color w:val="6B6259"/>
          <w:sz w:val="22"/>
          <w:szCs w:val="22"/>
        </w:rPr>
        <w:t xml:space="preserve">Resumen del proyecto — de un Excel personal a una app instalable</w:t>
      </w:r>
    </w:p>
    <w:p>
      <w:pPr>
        <w:pStyle w:val="Heading1"/>
        <w:pBdr>
          <w:bottom w:val="single" w:color="5C1F2E" w:sz="6" w:space="4"/>
        </w:pBdr>
        <w:spacing w:after="160" w:before="320"/>
      </w:pPr>
      <w:r>
        <w:rPr>
          <w:b/>
          <w:bCs/>
          <w:color w:val="5C1F2E"/>
          <w:sz w:val="28"/>
          <w:szCs w:val="28"/>
        </w:rPr>
        <w:t xml:space="preserve">1. Resumen ejecutivo</w:t>
      </w:r>
    </w:p>
    <w:p>
      <w:pPr>
        <w:spacing w:after="120"/>
      </w:pPr>
      <w:r>
        <w:rPr>
          <w:color w:val="2A211D"/>
          <w:sz w:val="21"/>
          <w:szCs w:val="21"/>
        </w:rPr>
        <w:t xml:space="preserve">Este proyecto partió como una necesidad simple — ordenar gastos mensuales en un Excel — y evolucionó hasta convertirse en una aplicación web instalable ("MisFinanzas"), con diseño propio, lógica financiera personalizada y funciones que normalmente solo se ven en apps comerciales de finanzas personales.</w:t>
      </w:r>
    </w:p>
    <w:p>
      <w:pPr>
        <w:spacing w:after="120"/>
      </w:pPr>
      <w:r>
        <w:rPr>
          <w:color w:val="2A211D"/>
          <w:sz w:val="21"/>
          <w:szCs w:val="21"/>
        </w:rPr>
        <w:t xml:space="preserve">Todo el desarrollo se hizo sin costo de licencias ni infraestructura: la app es un solo archivo HTML autosuficiente (sin backend ni base de datos externa), alojado gratuitamente en Netlify, con los datos guardados en el propio dispositivo de cada persona.</w:t>
      </w:r>
    </w:p>
    <w:p>
      <w:pPr>
        <w:pStyle w:val="Heading1"/>
        <w:pBdr>
          <w:bottom w:val="single" w:color="5C1F2E" w:sz="6" w:space="4"/>
        </w:pBdr>
        <w:spacing w:after="160" w:before="320"/>
      </w:pPr>
      <w:r>
        <w:rPr>
          <w:b/>
          <w:bCs/>
          <w:color w:val="5C1F2E"/>
          <w:sz w:val="28"/>
          <w:szCs w:val="28"/>
        </w:rPr>
        <w:t xml:space="preserve">2. Fase 1 — El Excel original</w:t>
      </w:r>
    </w:p>
    <w:p>
      <w:pPr>
        <w:spacing w:after="120"/>
      </w:pPr>
      <w:r>
        <w:rPr>
          <w:color w:val="2A211D"/>
          <w:sz w:val="21"/>
          <w:szCs w:val="21"/>
        </w:rPr>
        <w:t xml:space="preserve">Antes de programar nada, se definió con una entrevista estructurada la lógica financiera completa, para que el Excel (y después la app) reflejara exactamente cómo se piensa el dinero en la práctica, no una plantilla genérica:</w:t>
      </w:r>
    </w:p>
    <w:p>
      <w:pPr>
        <w:pStyle w:val="ListParagraph"/>
        <w:numPr>
          <w:ilvl w:val="0"/>
          <w:numId w:val="1"/>
        </w:numPr>
        <w:spacing w:after="70"/>
      </w:pPr>
      <w:r>
        <w:rPr>
          <w:b/>
          <w:bCs/>
          <w:color w:val="2A211D"/>
          <w:sz w:val="21"/>
          <w:szCs w:val="21"/>
        </w:rPr>
        <w:t xml:space="preserve">12 categorías personalizadas </w:t>
      </w:r>
      <w:r>
        <w:rPr>
          <w:color w:val="2A211D"/>
          <w:sz w:val="21"/>
          <w:szCs w:val="21"/>
        </w:rPr>
        <w:t xml:space="preserve">(Comida, Vestuario, Ahorro, Varios, etc.), ampliables en cualquier momento.</w:t>
      </w:r>
    </w:p>
    <w:p>
      <w:pPr>
        <w:pStyle w:val="ListParagraph"/>
        <w:numPr>
          <w:ilvl w:val="0"/>
          <w:numId w:val="1"/>
        </w:numPr>
        <w:spacing w:after="70"/>
      </w:pPr>
      <w:r>
        <w:rPr>
          <w:b/>
          <w:bCs/>
          <w:color w:val="2A211D"/>
          <w:sz w:val="21"/>
          <w:szCs w:val="21"/>
        </w:rPr>
        <w:t xml:space="preserve">4 fuentes de ingreso </w:t>
      </w:r>
      <w:r>
        <w:rPr>
          <w:color w:val="2A211D"/>
          <w:sz w:val="21"/>
          <w:szCs w:val="21"/>
        </w:rPr>
        <w:t xml:space="preserve">con montos variables mes a mes (Iustax, Agrupación, Sesiones Online, Otros).</w:t>
      </w:r>
    </w:p>
    <w:p>
      <w:pPr>
        <w:pStyle w:val="ListParagraph"/>
        <w:numPr>
          <w:ilvl w:val="0"/>
          <w:numId w:val="1"/>
        </w:numPr>
        <w:spacing w:after="70"/>
      </w:pPr>
      <w:r>
        <w:rPr>
          <w:b/>
          <w:bCs/>
          <w:color w:val="2A211D"/>
          <w:sz w:val="21"/>
          <w:szCs w:val="21"/>
        </w:rPr>
        <w:t xml:space="preserve">Sistema de cuotas sin interés </w:t>
      </w:r>
      <w:r>
        <w:rPr>
          <w:color w:val="2A211D"/>
          <w:sz w:val="21"/>
          <w:szCs w:val="21"/>
        </w:rPr>
        <w:t xml:space="preserve">que reparte automáticamente una compra en cuotas a partir del mes siguiente a la compra.</w:t>
      </w:r>
    </w:p>
    <w:p>
      <w:pPr>
        <w:pStyle w:val="ListParagraph"/>
        <w:numPr>
          <w:ilvl w:val="0"/>
          <w:numId w:val="1"/>
        </w:numPr>
        <w:spacing w:after="70"/>
      </w:pPr>
      <w:r>
        <w:rPr>
          <w:b/>
          <w:bCs/>
          <w:color w:val="2A211D"/>
          <w:sz w:val="21"/>
          <w:szCs w:val="21"/>
        </w:rPr>
        <w:t xml:space="preserve">Distinción entre gasto fijo y casual </w:t>
      </w:r>
      <w:r>
        <w:rPr>
          <w:color w:val="2A211D"/>
          <w:sz w:val="21"/>
          <w:szCs w:val="21"/>
        </w:rPr>
        <w:t xml:space="preserve">para diferenciar compromisos recurrentes de gastos puntuales.</w:t>
      </w:r>
    </w:p>
    <w:p>
      <w:pPr>
        <w:pStyle w:val="ListParagraph"/>
        <w:numPr>
          <w:ilvl w:val="0"/>
          <w:numId w:val="1"/>
        </w:numPr>
        <w:spacing w:after="70"/>
      </w:pPr>
      <w:r>
        <w:rPr>
          <w:b/>
          <w:bCs/>
          <w:color w:val="2A211D"/>
          <w:sz w:val="21"/>
          <w:szCs w:val="21"/>
        </w:rPr>
        <w:t xml:space="preserve">Fórmula de disponible real: </w:t>
      </w:r>
      <w:r>
        <w:rPr>
          <w:color w:val="2A211D"/>
          <w:sz w:val="21"/>
          <w:szCs w:val="21"/>
        </w:rPr>
        <w:t xml:space="preserve">Ingresos − Gastos normales − Cuotas pendientes del mes.</w:t>
      </w:r>
    </w:p>
    <w:p>
      <w:pPr>
        <w:spacing w:after="120"/>
      </w:pPr>
      <w:r>
        <w:rPr>
          <w:color w:val="2A211D"/>
          <w:sz w:val="21"/>
          <w:szCs w:val="21"/>
        </w:rPr>
        <w:t xml:space="preserve">El resultado fue un archivo Excel con hojas de Configuración, Deudas, una Plantilla reutilizable y un mes de ejemplo ya cargado — verificado con fórmulas probadas contra datos reales antes de entregarse.</w:t>
      </w:r>
    </w:p>
    <w:p>
      <w:pPr>
        <w:pStyle w:val="Heading1"/>
        <w:pBdr>
          <w:bottom w:val="single" w:color="5C1F2E" w:sz="6" w:space="4"/>
        </w:pBdr>
        <w:spacing w:after="160" w:before="320"/>
      </w:pPr>
      <w:r>
        <w:rPr>
          <w:b/>
          <w:bCs/>
          <w:color w:val="5C1F2E"/>
          <w:sz w:val="28"/>
          <w:szCs w:val="28"/>
        </w:rPr>
        <w:t xml:space="preserve">3. Fase 2 — Transformación en app web</w:t>
      </w:r>
    </w:p>
    <w:p>
      <w:pPr>
        <w:spacing w:after="120"/>
      </w:pPr>
      <w:r>
        <w:rPr>
          <w:color w:val="2A211D"/>
          <w:sz w:val="21"/>
          <w:szCs w:val="21"/>
        </w:rPr>
        <w:t xml:space="preserve">El Excel funcionaba, pero era incómodo de usar desde el celular. Se decidió construir una web app instalable ("Agregar a pantalla de inicio" desde Safari), sin pasar por la App Store, manteniendo intacta toda la lógica financiera ya validada.</w:t>
      </w:r>
    </w:p>
    <w:p>
      <w:pPr>
        <w:pStyle w:val="Heading2"/>
        <w:spacing w:after="100" w:before="240"/>
      </w:pPr>
      <w:r>
        <w:rPr>
          <w:b/>
          <w:bCs/>
          <w:color w:val="2A211D"/>
          <w:sz w:val="24"/>
          <w:szCs w:val="24"/>
        </w:rPr>
        <w:t xml:space="preserve">Decisiones de diseño</w:t>
      </w:r>
    </w:p>
    <w:p>
      <w:pPr>
        <w:pStyle w:val="ListParagraph"/>
        <w:numPr>
          <w:ilvl w:val="0"/>
          <w:numId w:val="1"/>
        </w:numPr>
        <w:spacing w:after="70"/>
      </w:pPr>
      <w:r>
        <w:rPr>
          <w:color w:val="2A211D"/>
          <w:sz w:val="21"/>
          <w:szCs w:val="21"/>
        </w:rPr>
        <w:t xml:space="preserve">Estética café, burdeos y tonos oscuros elegantes, con tipografía serif para los montos y sans-serif para el resto de la interfaz.</w:t>
      </w:r>
    </w:p>
    <w:p>
      <w:pPr>
        <w:pStyle w:val="ListParagraph"/>
        <w:numPr>
          <w:ilvl w:val="0"/>
          <w:numId w:val="1"/>
        </w:numPr>
        <w:spacing w:after="70"/>
      </w:pPr>
      <w:r>
        <w:rPr>
          <w:color w:val="2A211D"/>
          <w:sz w:val="21"/>
          <w:szCs w:val="21"/>
        </w:rPr>
        <w:t xml:space="preserve">Navegación por 3 pestañas (Resumen, Historial, Cuotas) más un botón flotante "+" para registrar gastos e ingresos al instante.</w:t>
      </w:r>
    </w:p>
    <w:p>
      <w:pPr>
        <w:pStyle w:val="ListParagraph"/>
        <w:numPr>
          <w:ilvl w:val="0"/>
          <w:numId w:val="1"/>
        </w:numPr>
        <w:spacing w:after="70"/>
      </w:pPr>
      <w:r>
        <w:rPr>
          <w:color w:val="2A211D"/>
          <w:sz w:val="21"/>
          <w:szCs w:val="21"/>
        </w:rPr>
        <w:t xml:space="preserve">Selector de mes con flechas, igual que las hojas mensuales del Excel original.</w:t>
      </w:r>
    </w:p>
    <w:p>
      <w:pPr>
        <w:pStyle w:val="Heading2"/>
        <w:spacing w:after="100" w:before="240"/>
      </w:pPr>
      <w:r>
        <w:rPr>
          <w:b/>
          <w:bCs/>
          <w:color w:val="2A211D"/>
          <w:sz w:val="24"/>
          <w:szCs w:val="24"/>
        </w:rPr>
        <w:t xml:space="preserve">Decisiones técnicas clave</w:t>
      </w:r>
    </w:p>
    <w:p>
      <w:pPr>
        <w:pStyle w:val="ListParagraph"/>
        <w:numPr>
          <w:ilvl w:val="0"/>
          <w:numId w:val="1"/>
        </w:numPr>
        <w:spacing w:after="70"/>
      </w:pPr>
      <w:r>
        <w:rPr>
          <w:color w:val="2A211D"/>
          <w:sz w:val="21"/>
          <w:szCs w:val="21"/>
        </w:rPr>
        <w:t xml:space="preserve">Un solo archivo HTML autosuficiente — sin necesidad de servidor propio ni instalación de software.</w:t>
      </w:r>
    </w:p>
    <w:p>
      <w:pPr>
        <w:pStyle w:val="ListParagraph"/>
        <w:numPr>
          <w:ilvl w:val="0"/>
          <w:numId w:val="1"/>
        </w:numPr>
        <w:spacing w:after="70"/>
      </w:pPr>
      <w:r>
        <w:rPr>
          <w:color w:val="2A211D"/>
          <w:sz w:val="21"/>
          <w:szCs w:val="21"/>
        </w:rPr>
        <w:t xml:space="preserve">Datos guardados localmente en el dispositivo (localStorage), sin necesidad de cuentas ni conexión constante.</w:t>
      </w:r>
    </w:p>
    <w:p>
      <w:pPr>
        <w:pStyle w:val="ListParagraph"/>
        <w:numPr>
          <w:ilvl w:val="0"/>
          <w:numId w:val="1"/>
        </w:numPr>
        <w:spacing w:after="70"/>
      </w:pPr>
      <w:r>
        <w:rPr>
          <w:color w:val="2A211D"/>
          <w:sz w:val="21"/>
          <w:szCs w:val="21"/>
        </w:rPr>
        <w:t xml:space="preserve">Cero dependencias externas para la interfaz (íconos y tipografía incrustados), para que funcione igual de bien con o sin conexión.</w:t>
      </w:r>
    </w:p>
    <w:p>
      <w:pPr>
        <w:pStyle w:val="ListParagraph"/>
        <w:numPr>
          <w:ilvl w:val="0"/>
          <w:numId w:val="1"/>
        </w:numPr>
        <w:spacing w:after="70"/>
      </w:pPr>
      <w:r>
        <w:rPr>
          <w:color w:val="2A211D"/>
          <w:sz w:val="21"/>
          <w:szCs w:val="21"/>
        </w:rPr>
        <w:t xml:space="preserve">Publicada mediante Netlify, con actualizaciones que no afectan los datos ya guardados mientras se use el mismo sitio.</w:t>
      </w:r>
    </w:p>
    <w:p>
      <w:pPr>
        <w:pStyle w:val="Heading1"/>
        <w:pBdr>
          <w:bottom w:val="single" w:color="5C1F2E" w:sz="6" w:space="4"/>
        </w:pBdr>
        <w:spacing w:after="160" w:before="320"/>
      </w:pPr>
      <w:r>
        <w:rPr>
          <w:b/>
          <w:bCs/>
          <w:color w:val="5C1F2E"/>
          <w:sz w:val="28"/>
          <w:szCs w:val="28"/>
        </w:rPr>
        <w:t xml:space="preserve">4. Funcionalidades principales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2%"/>
            <w:shd w:fill="2A211D" w:val="clear"/>
            <w:tcMar>
              <w:top w:type="dxa" w:w="80"/>
              <w:left w:type="dxa" w:w="100"/>
              <w:bottom w:type="dxa" w:w="80"/>
              <w:right w:type="dxa" w:w="100"/>
            </w:tcMar>
          </w:tcPr>
          <w:p>
            <w:r>
              <w:rPr>
                <w:b/>
                <w:bCs/>
                <w:color w:val="FFFFFF"/>
                <w:sz w:val="19"/>
                <w:szCs w:val="19"/>
              </w:rPr>
              <w:t xml:space="preserve">Función</w:t>
            </w:r>
          </w:p>
        </w:tc>
        <w:tc>
          <w:tcPr>
            <w:tcW w:type="pct" w:w="68%"/>
            <w:shd w:fill="2A211D" w:val="clear"/>
            <w:tcMar>
              <w:top w:type="dxa" w:w="80"/>
              <w:left w:type="dxa" w:w="100"/>
              <w:bottom w:type="dxa" w:w="80"/>
              <w:right w:type="dxa" w:w="100"/>
            </w:tcMar>
          </w:tcPr>
          <w:p>
            <w:r>
              <w:rPr>
                <w:b/>
                <w:bCs/>
                <w:color w:val="FFFFFF"/>
                <w:sz w:val="19"/>
                <w:szCs w:val="19"/>
              </w:rPr>
              <w:t xml:space="preserve">Qué resuelve</w:t>
            </w:r>
          </w:p>
        </w:tc>
      </w:tr>
      <w:tr>
        <w:tc>
          <w:tcPr>
            <w:tcW w:type="pct" w:w="32%"/>
            <w:tcMar>
              <w:top w:type="dxa" w:w="80"/>
              <w:left w:type="dxa" w:w="100"/>
              <w:bottom w:type="dxa" w:w="80"/>
              <w:right w:type="dxa" w:w="100"/>
            </w:tcMar>
          </w:tcPr>
          <w:p>
            <w:r>
              <w:rPr>
                <w:color w:val="2A211D"/>
                <w:sz w:val="20"/>
                <w:szCs w:val="20"/>
              </w:rPr>
              <w:t xml:space="preserve">Registro de gastos e ingresos</w:t>
            </w:r>
          </w:p>
        </w:tc>
        <w:tc>
          <w:tcPr>
            <w:tcW w:type="pct" w:w="68%"/>
            <w:tcMar>
              <w:top w:type="dxa" w:w="80"/>
              <w:left w:type="dxa" w:w="100"/>
              <w:bottom w:type="dxa" w:w="80"/>
              <w:right w:type="dxa" w:w="100"/>
            </w:tcMar>
          </w:tcPr>
          <w:p>
            <w:r>
              <w:rPr>
                <w:color w:val="2A211D"/>
                <w:sz w:val="20"/>
                <w:szCs w:val="20"/>
              </w:rPr>
              <w:t xml:space="preserve">Categorías, métodos de pago, fuentes de ingreso — todos personalizables y ampliables.</w:t>
            </w:r>
          </w:p>
        </w:tc>
      </w:tr>
      <w:tr>
        <w:tc>
          <w:tcPr>
            <w:tcW w:type="pct" w:w="32%"/>
            <w:tcMar>
              <w:top w:type="dxa" w:w="80"/>
              <w:left w:type="dxa" w:w="100"/>
              <w:bottom w:type="dxa" w:w="80"/>
              <w:right w:type="dxa" w:w="100"/>
            </w:tcMar>
          </w:tcPr>
          <w:p>
            <w:r>
              <w:rPr>
                <w:color w:val="2A211D"/>
                <w:sz w:val="20"/>
                <w:szCs w:val="20"/>
              </w:rPr>
              <w:t xml:space="preserve">Cuotas y pagos con crédito</w:t>
            </w:r>
          </w:p>
        </w:tc>
        <w:tc>
          <w:tcPr>
            <w:tcW w:type="pct" w:w="68%"/>
            <w:tcMar>
              <w:top w:type="dxa" w:w="80"/>
              <w:left w:type="dxa" w:w="100"/>
              <w:bottom w:type="dxa" w:w="80"/>
              <w:right w:type="dxa" w:w="100"/>
            </w:tcMar>
          </w:tcPr>
          <w:p>
            <w:r>
              <w:rPr>
                <w:color w:val="2A211D"/>
                <w:sz w:val="20"/>
                <w:szCs w:val="20"/>
              </w:rPr>
              <w:t xml:space="preserve">Reparto automático mes a mes, incluyendo pagos a una sola cuota (crédito diferido a 1 mes).</w:t>
            </w:r>
          </w:p>
        </w:tc>
      </w:tr>
      <w:tr>
        <w:tc>
          <w:tcPr>
            <w:tcW w:type="pct" w:w="32%"/>
            <w:tcMar>
              <w:top w:type="dxa" w:w="80"/>
              <w:left w:type="dxa" w:w="100"/>
              <w:bottom w:type="dxa" w:w="80"/>
              <w:right w:type="dxa" w:w="100"/>
            </w:tcMar>
          </w:tcPr>
          <w:p>
            <w:r>
              <w:rPr>
                <w:color w:val="2A211D"/>
                <w:sz w:val="20"/>
                <w:szCs w:val="20"/>
              </w:rPr>
              <w:t xml:space="preserve">Gastos fijos recurrentes</w:t>
            </w:r>
          </w:p>
        </w:tc>
        <w:tc>
          <w:tcPr>
            <w:tcW w:type="pct" w:w="68%"/>
            <w:tcMar>
              <w:top w:type="dxa" w:w="80"/>
              <w:left w:type="dxa" w:w="100"/>
              <w:bottom w:type="dxa" w:w="80"/>
              <w:right w:type="dxa" w:w="100"/>
            </w:tcMar>
          </w:tcPr>
          <w:p>
            <w:r>
              <w:rPr>
                <w:color w:val="2A211D"/>
                <w:sz w:val="20"/>
                <w:szCs w:val="20"/>
              </w:rPr>
              <w:t xml:space="preserve">Se repiten automáticamente cada mes hasta que se editen o eliminen; el corte de un gasto fijo respeta los meses ya transcurridos.</w:t>
            </w:r>
          </w:p>
        </w:tc>
      </w:tr>
      <w:tr>
        <w:tc>
          <w:tcPr>
            <w:tcW w:type="pct" w:w="32%"/>
            <w:tcMar>
              <w:top w:type="dxa" w:w="80"/>
              <w:left w:type="dxa" w:w="100"/>
              <w:bottom w:type="dxa" w:w="80"/>
              <w:right w:type="dxa" w:w="100"/>
            </w:tcMar>
          </w:tcPr>
          <w:p>
            <w:r>
              <w:rPr>
                <w:color w:val="2A211D"/>
                <w:sz w:val="20"/>
                <w:szCs w:val="20"/>
              </w:rPr>
              <w:t xml:space="preserve">Marcado manual de cuotas pagadas</w:t>
            </w:r>
          </w:p>
        </w:tc>
        <w:tc>
          <w:tcPr>
            <w:tcW w:type="pct" w:w="68%"/>
            <w:tcMar>
              <w:top w:type="dxa" w:w="80"/>
              <w:left w:type="dxa" w:w="100"/>
              <w:bottom w:type="dxa" w:w="80"/>
              <w:right w:type="dxa" w:w="100"/>
            </w:tcMar>
          </w:tcPr>
          <w:p>
            <w:r>
              <w:rPr>
                <w:color w:val="2A211D"/>
                <w:sz w:val="20"/>
                <w:szCs w:val="20"/>
              </w:rPr>
              <w:t xml:space="preserve">Permite adelantar el pago de una cuota sin alterar los totales del mes.</w:t>
            </w:r>
          </w:p>
        </w:tc>
      </w:tr>
      <w:tr>
        <w:tc>
          <w:tcPr>
            <w:tcW w:type="pct" w:w="32%"/>
            <w:tcMar>
              <w:top w:type="dxa" w:w="80"/>
              <w:left w:type="dxa" w:w="100"/>
              <w:bottom w:type="dxa" w:w="80"/>
              <w:right w:type="dxa" w:w="100"/>
            </w:tcMar>
          </w:tcPr>
          <w:p>
            <w:r>
              <w:rPr>
                <w:color w:val="2A211D"/>
                <w:sz w:val="20"/>
                <w:szCs w:val="20"/>
              </w:rPr>
              <w:t xml:space="preserve">Detalle de categoría</w:t>
            </w:r>
          </w:p>
        </w:tc>
        <w:tc>
          <w:tcPr>
            <w:tcW w:type="pct" w:w="68%"/>
            <w:tcMar>
              <w:top w:type="dxa" w:w="80"/>
              <w:left w:type="dxa" w:w="100"/>
              <w:bottom w:type="dxa" w:w="80"/>
              <w:right w:type="dxa" w:w="100"/>
            </w:tcMar>
          </w:tcPr>
          <w:p>
            <w:r>
              <w:rPr>
                <w:color w:val="2A211D"/>
                <w:sz w:val="20"/>
                <w:szCs w:val="20"/>
              </w:rPr>
              <w:t xml:space="preserve">Desglose de cada gasto individual al tocar una categoría en el Resumen.</w:t>
            </w:r>
          </w:p>
        </w:tc>
      </w:tr>
      <w:tr>
        <w:tc>
          <w:tcPr>
            <w:tcW w:type="pct" w:w="32%"/>
            <w:tcMar>
              <w:top w:type="dxa" w:w="80"/>
              <w:left w:type="dxa" w:w="100"/>
              <w:bottom w:type="dxa" w:w="80"/>
              <w:right w:type="dxa" w:w="100"/>
            </w:tcMar>
          </w:tcPr>
          <w:p>
            <w:r>
              <w:rPr>
                <w:color w:val="2A211D"/>
                <w:sz w:val="20"/>
                <w:szCs w:val="20"/>
              </w:rPr>
              <w:t xml:space="preserve">Filtros de orden en Historial</w:t>
            </w:r>
          </w:p>
        </w:tc>
        <w:tc>
          <w:tcPr>
            <w:tcW w:type="pct" w:w="68%"/>
            <w:tcMar>
              <w:top w:type="dxa" w:w="80"/>
              <w:left w:type="dxa" w:w="100"/>
              <w:bottom w:type="dxa" w:w="80"/>
              <w:right w:type="dxa" w:w="100"/>
            </w:tcMar>
          </w:tcPr>
          <w:p>
            <w:r>
              <w:rPr>
                <w:color w:val="2A211D"/>
                <w:sz w:val="20"/>
                <w:szCs w:val="20"/>
              </w:rPr>
              <w:t xml:space="preserve">Por fecha, monto o nombre, ascendente o descendente.</w:t>
            </w:r>
          </w:p>
        </w:tc>
      </w:tr>
      <w:tr>
        <w:tc>
          <w:tcPr>
            <w:tcW w:type="pct" w:w="32%"/>
            <w:tcMar>
              <w:top w:type="dxa" w:w="80"/>
              <w:left w:type="dxa" w:w="100"/>
              <w:bottom w:type="dxa" w:w="80"/>
              <w:right w:type="dxa" w:w="100"/>
            </w:tcMar>
          </w:tcPr>
          <w:p>
            <w:r>
              <w:rPr>
                <w:color w:val="2A211D"/>
                <w:sz w:val="20"/>
                <w:szCs w:val="20"/>
              </w:rPr>
              <w:t xml:space="preserve">Exportación a Excel</w:t>
            </w:r>
          </w:p>
        </w:tc>
        <w:tc>
          <w:tcPr>
            <w:tcW w:type="pct" w:w="68%"/>
            <w:tcMar>
              <w:top w:type="dxa" w:w="80"/>
              <w:left w:type="dxa" w:w="100"/>
              <w:bottom w:type="dxa" w:w="80"/>
              <w:right w:type="dxa" w:w="100"/>
            </w:tcMar>
          </w:tcPr>
          <w:p>
            <w:r>
              <w:rPr>
                <w:color w:val="2A211D"/>
                <w:sz w:val="20"/>
                <w:szCs w:val="20"/>
              </w:rPr>
              <w:t xml:space="preserve">Con opción de mes actual, todo el historial o un rango de fechas.</w:t>
            </w:r>
          </w:p>
        </w:tc>
      </w:tr>
      <w:tr>
        <w:tc>
          <w:tcPr>
            <w:tcW w:type="pct" w:w="32%"/>
            <w:tcMar>
              <w:top w:type="dxa" w:w="80"/>
              <w:left w:type="dxa" w:w="100"/>
              <w:bottom w:type="dxa" w:w="80"/>
              <w:right w:type="dxa" w:w="100"/>
            </w:tcMar>
          </w:tcPr>
          <w:p>
            <w:r>
              <w:rPr>
                <w:color w:val="2A211D"/>
                <w:sz w:val="20"/>
                <w:szCs w:val="20"/>
              </w:rPr>
              <w:t xml:space="preserve">Respaldo y restauración de datos</w:t>
            </w:r>
          </w:p>
        </w:tc>
        <w:tc>
          <w:tcPr>
            <w:tcW w:type="pct" w:w="68%"/>
            <w:tcMar>
              <w:top w:type="dxa" w:w="80"/>
              <w:left w:type="dxa" w:w="100"/>
              <w:bottom w:type="dxa" w:w="80"/>
              <w:right w:type="dxa" w:w="100"/>
            </w:tcMar>
          </w:tcPr>
          <w:p>
            <w:r>
              <w:rPr>
                <w:color w:val="2A211D"/>
                <w:sz w:val="20"/>
                <w:szCs w:val="20"/>
              </w:rPr>
              <w:t xml:space="preserve">Descarga y carga de un archivo con todos los datos — clave para no perder información al cambiar de sitio o dispositivo.</w:t>
            </w:r>
          </w:p>
        </w:tc>
      </w:tr>
    </w:tbl>
    <w:p>
      <w:pPr>
        <w:pStyle w:val="Heading1"/>
        <w:pBdr>
          <w:bottom w:val="single" w:color="5C1F2E" w:sz="6" w:space="4"/>
        </w:pBdr>
        <w:spacing w:after="160" w:before="320"/>
      </w:pPr>
      <w:r>
        <w:rPr>
          <w:b/>
          <w:bCs/>
          <w:color w:val="5C1F2E"/>
          <w:sz w:val="28"/>
          <w:szCs w:val="28"/>
        </w:rPr>
        <w:t xml:space="preserve">5. Problemas detectados y corregidos</w:t>
      </w:r>
    </w:p>
    <w:p>
      <w:pPr>
        <w:spacing w:after="120"/>
      </w:pPr>
      <w:r>
        <w:rPr>
          <w:color w:val="2A211D"/>
          <w:sz w:val="21"/>
          <w:szCs w:val="21"/>
        </w:rPr>
        <w:t xml:space="preserve">Varios de estos se descubrieron con uso real (dos días de datos cargados por una segunda persona), lo cual fue clave para encontrar casos que no aparecen probando solo/a.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8%"/>
            <w:shd w:fill="2A211D" w:val="clear"/>
            <w:tcMar>
              <w:top w:type="dxa" w:w="80"/>
              <w:left w:type="dxa" w:w="100"/>
              <w:bottom w:type="dxa" w:w="80"/>
              <w:right w:type="dxa" w:w="100"/>
            </w:tcMar>
          </w:tcPr>
          <w:p>
            <w:r>
              <w:rPr>
                <w:b/>
                <w:bCs/>
                <w:color w:val="FFFFFF"/>
                <w:sz w:val="19"/>
                <w:szCs w:val="19"/>
              </w:rPr>
              <w:t xml:space="preserve">Problema</w:t>
            </w:r>
          </w:p>
        </w:tc>
        <w:tc>
          <w:tcPr>
            <w:tcW w:type="pct" w:w="36%"/>
            <w:shd w:fill="2A211D" w:val="clear"/>
            <w:tcMar>
              <w:top w:type="dxa" w:w="80"/>
              <w:left w:type="dxa" w:w="100"/>
              <w:bottom w:type="dxa" w:w="80"/>
              <w:right w:type="dxa" w:w="100"/>
            </w:tcMar>
          </w:tcPr>
          <w:p>
            <w:r>
              <w:rPr>
                <w:b/>
                <w:bCs/>
                <w:color w:val="FFFFFF"/>
                <w:sz w:val="19"/>
                <w:szCs w:val="19"/>
              </w:rPr>
              <w:t xml:space="preserve">Causa</w:t>
            </w:r>
          </w:p>
        </w:tc>
        <w:tc>
          <w:tcPr>
            <w:tcW w:type="pct" w:w="36%"/>
            <w:shd w:fill="2A211D" w:val="clear"/>
            <w:tcMar>
              <w:top w:type="dxa" w:w="80"/>
              <w:left w:type="dxa" w:w="100"/>
              <w:bottom w:type="dxa" w:w="80"/>
              <w:right w:type="dxa" w:w="100"/>
            </w:tcMar>
          </w:tcPr>
          <w:p>
            <w:r>
              <w:rPr>
                <w:b/>
                <w:bCs/>
                <w:color w:val="FFFFFF"/>
                <w:sz w:val="19"/>
                <w:szCs w:val="19"/>
              </w:rPr>
              <w:t xml:space="preserve">Solución</w:t>
            </w:r>
          </w:p>
        </w:tc>
      </w:tr>
      <w:tr>
        <w:tc>
          <w:tcPr>
            <w:tcW w:type="pct" w:w="28%"/>
            <w:tcMar>
              <w:top w:type="dxa" w:w="80"/>
              <w:left w:type="dxa" w:w="100"/>
              <w:bottom w:type="dxa" w:w="80"/>
              <w:right w:type="dxa" w:w="100"/>
            </w:tcMar>
          </w:tcPr>
          <w:p>
            <w:r>
              <w:rPr>
                <w:color w:val="2A211D"/>
                <w:sz w:val="20"/>
                <w:szCs w:val="20"/>
              </w:rPr>
              <w:t xml:space="preserve">Íconos y letras invisibles</w:t>
            </w:r>
          </w:p>
        </w:tc>
        <w:tc>
          <w:tcPr>
            <w:tcW w:type="pct" w:w="36%"/>
            <w:tcMar>
              <w:top w:type="dxa" w:w="80"/>
              <w:left w:type="dxa" w:w="100"/>
              <w:bottom w:type="dxa" w:w="80"/>
              <w:right w:type="dxa" w:w="100"/>
            </w:tcMar>
          </w:tcPr>
          <w:p>
            <w:r>
              <w:rPr>
                <w:color w:val="2A211D"/>
                <w:sz w:val="20"/>
                <w:szCs w:val="20"/>
              </w:rPr>
              <w:t xml:space="preserve">El link a la librería de íconos estaba roto y dependía de internet; en vistas previas sin conexión (como la de archivos) todo quedaba invisible.</w:t>
            </w:r>
          </w:p>
        </w:tc>
        <w:tc>
          <w:tcPr>
            <w:tcW w:type="pct" w:w="36%"/>
            <w:tcMar>
              <w:top w:type="dxa" w:w="80"/>
              <w:left w:type="dxa" w:w="100"/>
              <w:bottom w:type="dxa" w:w="80"/>
              <w:right w:type="dxa" w:w="100"/>
            </w:tcMar>
          </w:tcPr>
          <w:p>
            <w:r>
              <w:rPr>
                <w:color w:val="2A211D"/>
                <w:sz w:val="20"/>
                <w:szCs w:val="20"/>
              </w:rPr>
              <w:t xml:space="preserve">Se reemplazaron todos los íconos por SVG incrustados directamente en el código y se cambió a tipografías del sistema — cero dependencias externas para la interfaz.</w:t>
            </w:r>
          </w:p>
        </w:tc>
      </w:tr>
      <w:tr>
        <w:tc>
          <w:tcPr>
            <w:tcW w:type="pct" w:w="28%"/>
            <w:tcMar>
              <w:top w:type="dxa" w:w="80"/>
              <w:left w:type="dxa" w:w="100"/>
              <w:bottom w:type="dxa" w:w="80"/>
              <w:right w:type="dxa" w:w="100"/>
            </w:tcMar>
          </w:tcPr>
          <w:p>
            <w:r>
              <w:rPr>
                <w:color w:val="2A211D"/>
                <w:sz w:val="20"/>
                <w:szCs w:val="20"/>
              </w:rPr>
              <w:t xml:space="preserve">Cuotas mostraban el número equivocado en todos los meses</w:t>
            </w:r>
          </w:p>
        </w:tc>
        <w:tc>
          <w:tcPr>
            <w:tcW w:type="pct" w:w="36%"/>
            <w:tcMar>
              <w:top w:type="dxa" w:w="80"/>
              <w:left w:type="dxa" w:w="100"/>
              <w:bottom w:type="dxa" w:w="80"/>
              <w:right w:type="dxa" w:w="100"/>
            </w:tcMar>
          </w:tcPr>
          <w:p>
            <w:r>
              <w:rPr>
                <w:color w:val="2A211D"/>
                <w:sz w:val="20"/>
                <w:szCs w:val="20"/>
              </w:rPr>
              <w:t xml:space="preserve">El cálculo comparaba fechas completas contra el mes que se estaba viendo, usando siempre la fecha real de hoy en vez del mes seleccionado.</w:t>
            </w:r>
          </w:p>
        </w:tc>
        <w:tc>
          <w:tcPr>
            <w:tcW w:type="pct" w:w="36%"/>
            <w:tcMar>
              <w:top w:type="dxa" w:w="80"/>
              <w:left w:type="dxa" w:w="100"/>
              <w:bottom w:type="dxa" w:w="80"/>
              <w:right w:type="dxa" w:w="100"/>
            </w:tcMar>
          </w:tcPr>
          <w:p>
            <w:r>
              <w:rPr>
                <w:color w:val="2A211D"/>
                <w:sz w:val="20"/>
                <w:szCs w:val="20"/>
              </w:rPr>
              <w:t xml:space="preserve">Se corrigió la comparación para que dependa exclusivamente del mes elegido con el selector de fecha.</w:t>
            </w:r>
          </w:p>
        </w:tc>
      </w:tr>
      <w:tr>
        <w:tc>
          <w:tcPr>
            <w:tcW w:type="pct" w:w="28%"/>
            <w:tcMar>
              <w:top w:type="dxa" w:w="80"/>
              <w:left w:type="dxa" w:w="100"/>
              <w:bottom w:type="dxa" w:w="80"/>
              <w:right w:type="dxa" w:w="100"/>
            </w:tcMar>
          </w:tcPr>
          <w:p>
            <w:r>
              <w:rPr>
                <w:color w:val="2A211D"/>
                <w:sz w:val="20"/>
                <w:szCs w:val="20"/>
              </w:rPr>
              <w:t xml:space="preserve">Botón "+" superpuesto con la barra de pestañas</w:t>
            </w:r>
          </w:p>
        </w:tc>
        <w:tc>
          <w:tcPr>
            <w:tcW w:type="pct" w:w="36%"/>
            <w:tcMar>
              <w:top w:type="dxa" w:w="80"/>
              <w:left w:type="dxa" w:w="100"/>
              <w:bottom w:type="dxa" w:w="80"/>
              <w:right w:type="dxa" w:w="100"/>
            </w:tcMar>
          </w:tcPr>
          <w:p>
            <w:r>
              <w:rPr>
                <w:color w:val="2A211D"/>
                <w:sz w:val="20"/>
                <w:szCs w:val="20"/>
              </w:rPr>
              <w:t xml:space="preserve">El cálculo de la posición no dejaba suficiente espacio en distintos tamaños de pantalla / modo instalado.</w:t>
            </w:r>
          </w:p>
        </w:tc>
        <w:tc>
          <w:tcPr>
            <w:tcW w:type="pct" w:w="36%"/>
            <w:tcMar>
              <w:top w:type="dxa" w:w="80"/>
              <w:left w:type="dxa" w:w="100"/>
              <w:bottom w:type="dxa" w:w="80"/>
              <w:right w:type="dxa" w:w="100"/>
            </w:tcMar>
          </w:tcPr>
          <w:p>
            <w:r>
              <w:rPr>
                <w:color w:val="2A211D"/>
                <w:sz w:val="20"/>
                <w:szCs w:val="20"/>
              </w:rPr>
              <w:t xml:space="preserve">Se ajustó y luego se revirtió a pedido, a la espera de más detalle sobre el problema visual persistente.</w:t>
            </w:r>
          </w:p>
        </w:tc>
      </w:tr>
      <w:tr>
        <w:tc>
          <w:tcPr>
            <w:tcW w:type="pct" w:w="28%"/>
            <w:tcMar>
              <w:top w:type="dxa" w:w="80"/>
              <w:left w:type="dxa" w:w="100"/>
              <w:bottom w:type="dxa" w:w="80"/>
              <w:right w:type="dxa" w:w="100"/>
            </w:tcMar>
          </w:tcPr>
          <w:p>
            <w:r>
              <w:rPr>
                <w:color w:val="2A211D"/>
                <w:sz w:val="20"/>
                <w:szCs w:val="20"/>
              </w:rPr>
              <w:t xml:space="preserve">Barra inferior cortada al instalar en pantalla de inicio</w:t>
            </w:r>
          </w:p>
        </w:tc>
        <w:tc>
          <w:tcPr>
            <w:tcW w:type="pct" w:w="36%"/>
            <w:tcMar>
              <w:top w:type="dxa" w:w="80"/>
              <w:left w:type="dxa" w:w="100"/>
              <w:bottom w:type="dxa" w:w="80"/>
              <w:right w:type="dxa" w:w="100"/>
            </w:tcMar>
          </w:tcPr>
          <w:p>
            <w:r>
              <w:rPr>
                <w:color w:val="2A211D"/>
                <w:sz w:val="20"/>
                <w:szCs w:val="20"/>
              </w:rPr>
              <w:t xml:space="preserve">En modo standalone (ícono instalado) el rebote elástico del scroll, normalmente absorbido por Safari, quedaba expuesto y desalineaba elementos fijos.</w:t>
            </w:r>
          </w:p>
        </w:tc>
        <w:tc>
          <w:tcPr>
            <w:tcW w:type="pct" w:w="36%"/>
            <w:tcMar>
              <w:top w:type="dxa" w:w="80"/>
              <w:left w:type="dxa" w:w="100"/>
              <w:bottom w:type="dxa" w:w="80"/>
              <w:right w:type="dxa" w:w="100"/>
            </w:tcMar>
          </w:tcPr>
          <w:p>
            <w:r>
              <w:rPr>
                <w:color w:val="2A211D"/>
                <w:sz w:val="20"/>
                <w:szCs w:val="20"/>
              </w:rPr>
              <w:t xml:space="preserve">Se bloqueó el scroll de la página completa dejando que solo el contenido interno se desplace.</w:t>
            </w:r>
          </w:p>
        </w:tc>
      </w:tr>
    </w:tbl>
    <w:p>
      <w:pPr>
        <w:pStyle w:val="Heading1"/>
        <w:pBdr>
          <w:bottom w:val="single" w:color="5C1F2E" w:sz="6" w:space="4"/>
        </w:pBdr>
        <w:spacing w:after="160" w:before="320"/>
      </w:pPr>
      <w:r>
        <w:rPr>
          <w:b/>
          <w:bCs/>
          <w:color w:val="5C1F2E"/>
          <w:sz w:val="28"/>
          <w:szCs w:val="28"/>
        </w:rPr>
        <w:t xml:space="preserve">6. Datos y continuidad — el punto más importante</w:t>
      </w:r>
    </w:p>
    <w:p>
      <w:pPr>
        <w:spacing w:after="120"/>
      </w:pPr>
      <w:r>
        <w:rPr>
          <w:color w:val="2A211D"/>
          <w:sz w:val="21"/>
          <w:szCs w:val="21"/>
        </w:rPr>
        <w:t xml:space="preserve">Los datos de la app viven en el navegador, asociados a la dirección web exacta (no al archivo). Esto tuvo una consecuencia real: se perdieron los primeros datos de prueba al eliminarse por error el sitio de Netlify donde estaban guardados.</w:t>
      </w:r>
    </w:p>
    <w:p>
      <w:pPr>
        <w:spacing w:after="120"/>
      </w:pPr>
      <w:r>
        <w:rPr>
          <w:color w:val="2A211D"/>
          <w:sz w:val="21"/>
          <w:szCs w:val="21"/>
        </w:rPr>
        <w:t xml:space="preserve">Lecciones aplicadas a partir de ese incidente:</w:t>
      </w:r>
    </w:p>
    <w:p>
      <w:pPr>
        <w:pStyle w:val="ListParagraph"/>
        <w:numPr>
          <w:ilvl w:val="0"/>
          <w:numId w:val="1"/>
        </w:numPr>
        <w:spacing w:after="70"/>
      </w:pPr>
      <w:r>
        <w:rPr>
          <w:b/>
          <w:bCs/>
          <w:color w:val="2A211D"/>
          <w:sz w:val="21"/>
          <w:szCs w:val="21"/>
        </w:rPr>
        <w:t xml:space="preserve">Actualizar el mismo sitio, no crear uno nuevo. </w:t>
      </w:r>
      <w:r>
        <w:rPr>
          <w:color w:val="2A211D"/>
          <w:sz w:val="21"/>
          <w:szCs w:val="21"/>
        </w:rPr>
        <w:t xml:space="preserve">Mientras se suba el código nuevo al mismo sitio de Netlify ("superb-treacle-eb54fd"), los datos existentes no se pierden — ni siquiera cuando se agregan funciones nuevas.</w:t>
      </w:r>
    </w:p>
    <w:p>
      <w:pPr>
        <w:pStyle w:val="ListParagraph"/>
        <w:numPr>
          <w:ilvl w:val="0"/>
          <w:numId w:val="1"/>
        </w:numPr>
        <w:spacing w:after="70"/>
      </w:pPr>
      <w:r>
        <w:rPr>
          <w:b/>
          <w:bCs/>
          <w:color w:val="2A211D"/>
          <w:sz w:val="21"/>
          <w:szCs w:val="21"/>
        </w:rPr>
        <w:t xml:space="preserve">Función de respaldo y restauración. </w:t>
      </w:r>
      <w:r>
        <w:rPr>
          <w:color w:val="2A211D"/>
          <w:sz w:val="21"/>
          <w:szCs w:val="21"/>
        </w:rPr>
        <w:t xml:space="preserve">Se agregó la posibilidad de descargar un archivo con todos los datos (gastos, ingresos, cuotas, categorías) y restaurarlos en cualquier momento — independiente del sitio o dispositivo.</w:t>
      </w:r>
    </w:p>
    <w:p>
      <w:pPr>
        <w:pStyle w:val="ListParagraph"/>
        <w:numPr>
          <w:ilvl w:val="0"/>
          <w:numId w:val="1"/>
        </w:numPr>
        <w:spacing w:after="70"/>
      </w:pPr>
      <w:r>
        <w:rPr>
          <w:b/>
          <w:bCs/>
          <w:color w:val="2A211D"/>
          <w:sz w:val="21"/>
          <w:szCs w:val="21"/>
        </w:rPr>
        <w:t xml:space="preserve">Recomendación activa. </w:t>
      </w:r>
      <w:r>
        <w:rPr>
          <w:color w:val="2A211D"/>
          <w:sz w:val="21"/>
          <w:szCs w:val="21"/>
        </w:rPr>
        <w:t xml:space="preserve">Hacer un respaldo periódico (por ejemplo, semanal) como buena práctica, ya que evita depender de un solo sitio web.</w:t>
      </w:r>
    </w:p>
    <w:p>
      <w:pPr>
        <w:pStyle w:val="Heading1"/>
        <w:pBdr>
          <w:bottom w:val="single" w:color="5C1F2E" w:sz="6" w:space="4"/>
        </w:pBdr>
        <w:spacing w:after="160" w:before="320"/>
      </w:pPr>
      <w:r>
        <w:rPr>
          <w:b/>
          <w:bCs/>
          <w:color w:val="5C1F2E"/>
          <w:sz w:val="28"/>
          <w:szCs w:val="28"/>
        </w:rPr>
        <w:t xml:space="preserve">7. Estado actual</w:t>
      </w:r>
    </w:p>
    <w:p>
      <w:pPr>
        <w:pStyle w:val="ListParagraph"/>
        <w:numPr>
          <w:ilvl w:val="0"/>
          <w:numId w:val="1"/>
        </w:numPr>
        <w:spacing w:after="70"/>
      </w:pPr>
      <w:r>
        <w:rPr>
          <w:color w:val="2A211D"/>
          <w:sz w:val="21"/>
          <w:szCs w:val="21"/>
        </w:rPr>
        <w:t xml:space="preserve">Sitio activo: superb-treacle-eb54fd.netlify.app</w:t>
      </w:r>
    </w:p>
    <w:p>
      <w:pPr>
        <w:pStyle w:val="ListParagraph"/>
        <w:numPr>
          <w:ilvl w:val="0"/>
          <w:numId w:val="1"/>
        </w:numPr>
        <w:spacing w:after="70"/>
      </w:pPr>
      <w:r>
        <w:rPr>
          <w:color w:val="2A211D"/>
          <w:sz w:val="21"/>
          <w:szCs w:val="21"/>
        </w:rPr>
        <w:t xml:space="preserve">Instalada como app en el iPhone del usuario y de su pareja.</w:t>
      </w:r>
    </w:p>
    <w:p>
      <w:pPr>
        <w:pStyle w:val="ListParagraph"/>
        <w:numPr>
          <w:ilvl w:val="0"/>
          <w:numId w:val="1"/>
        </w:numPr>
        <w:spacing w:after="70"/>
      </w:pPr>
      <w:r>
        <w:rPr>
          <w:color w:val="2A211D"/>
          <w:sz w:val="21"/>
          <w:szCs w:val="21"/>
        </w:rPr>
        <w:t xml:space="preserve">Versión actual incluye: pagos a una cuota, marcado manual de cuotas pagadas, detalle de categoría y filtros de orden en el historial.</w:t>
      </w:r>
    </w:p>
    <w:p>
      <w:pPr>
        <w:pStyle w:val="Heading1"/>
        <w:pBdr>
          <w:bottom w:val="single" w:color="5C1F2E" w:sz="6" w:space="4"/>
        </w:pBdr>
        <w:spacing w:after="160" w:before="320"/>
      </w:pPr>
      <w:r>
        <w:rPr>
          <w:b/>
          <w:bCs/>
          <w:color w:val="5C1F2E"/>
          <w:sz w:val="28"/>
          <w:szCs w:val="28"/>
        </w:rPr>
        <w:t xml:space="preserve">8. Próximos pasos (en evaluación)</w:t>
      </w:r>
    </w:p>
    <w:p>
      <w:pPr>
        <w:spacing w:after="120"/>
      </w:pPr>
      <w:r>
        <w:rPr>
          <w:color w:val="2A211D"/>
          <w:sz w:val="21"/>
          <w:szCs w:val="21"/>
        </w:rPr>
        <w:t xml:space="preserve">Se planteó la posibilidad de convertir la app en un producto para vender, ya sea como app nativa en la App Store o como sitio con suscripción. Es un salto de escala importante — implica cuentas de usuario, base de datos en la nube, cobros y (para App Store) cuenta de desarrollador de Apple — y quedó pendiente de definir antes de avanzar:</w:t>
      </w:r>
    </w:p>
    <w:p>
      <w:pPr>
        <w:pStyle w:val="ListParagraph"/>
        <w:numPr>
          <w:ilvl w:val="0"/>
          <w:numId w:val="1"/>
        </w:numPr>
        <w:spacing w:after="70"/>
      </w:pPr>
      <w:r>
        <w:rPr>
          <w:color w:val="2A211D"/>
          <w:sz w:val="21"/>
          <w:szCs w:val="21"/>
        </w:rPr>
        <w:t xml:space="preserve">Formato: app nativa, sitio con suscripción, o ambos.</w:t>
      </w:r>
    </w:p>
    <w:p>
      <w:pPr>
        <w:pStyle w:val="ListParagraph"/>
        <w:numPr>
          <w:ilvl w:val="0"/>
          <w:numId w:val="1"/>
        </w:numPr>
        <w:spacing w:after="70"/>
      </w:pPr>
      <w:r>
        <w:rPr>
          <w:color w:val="2A211D"/>
          <w:sz w:val="21"/>
          <w:szCs w:val="21"/>
        </w:rPr>
        <w:t xml:space="preserve">Modelo de cobro: pago único, suscripción, u otro.</w:t>
      </w:r>
    </w:p>
    <w:p>
      <w:pPr>
        <w:pStyle w:val="ListParagraph"/>
        <w:numPr>
          <w:ilvl w:val="0"/>
          <w:numId w:val="1"/>
        </w:numPr>
        <w:spacing w:after="70"/>
      </w:pPr>
      <w:r>
        <w:rPr>
          <w:color w:val="2A211D"/>
          <w:sz w:val="21"/>
          <w:szCs w:val="21"/>
        </w:rPr>
        <w:t xml:space="preserve">Nivel de involucramiento técnico deseado en el desarrollo.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2026-08-19T13:44:57.123Z</dcterms:created>
  <dcterms:modified xsi:type="dcterms:W3CDTF">2026-08-19T13:44:57.147Z</dcterms:modified>
</cp:coreProperties>
</file>

<file path=docProps/custom.xml><?xml version="1.0" encoding="utf-8"?>
<Properties xmlns="http://schemas.openxmlformats.org/officeDocument/2006/custom-properties" xmlns:vt="http://schemas.openxmlformats.org/officeDocument/2006/docPropsVTypes"/>
</file>