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MisFinanzas</w:t>
      </w:r>
    </w:p>
    <w:p>
      <w:pPr>
        <w:spacing w:after="300"/>
        <w:jc w:val="center"/>
      </w:pPr>
      <w:r>
        <w:rPr>
          <w:i/>
          <w:iCs/>
        </w:rPr>
        <w:t xml:space="preserve">Resumen del día — 11 de septiembre de 2026 (Día 11 del Plan de Acción)</w:t>
      </w:r>
    </w:p>
    <w:p>
      <w:pPr>
        <w:pStyle w:val="Heading1"/>
        <w:spacing w:after="160" w:before="300"/>
      </w:pPr>
      <w:r>
        <w:t xml:space="preserve">1. Contexto de la sesión</w:t>
      </w:r>
    </w:p>
    <w:p>
      <w:pPr>
        <w:spacing w:after="160"/>
      </w:pPr>
      <w:r>
        <w:t xml:space="preserve">El día arrancó cerrando las 3 tandas que habían quedado especificadas y listas desde el Día 10 (I, K, J) más la C4 (transferencias entre cuentas), la más delicada del lote por tocar el motor de cálculo directamente. Con eso cerrado, el usuario trajo una tanda de capturas del estado real de la app pidiendo una revisión profunda de Resumen — de ahí salió el cambio más grande del día en código: invertir el criterio de "Gasto" de devengado (todas las cuotas) a solo cuotas confirmadas, que de paso corrigió un bug de proyección identificado desde el Día 8 y nunca resuelto.</w:t>
      </w:r>
    </w:p>
    <w:p>
      <w:pPr>
        <w:spacing w:after="160"/>
      </w:pPr>
      <w:r>
        <w:t xml:space="preserve">A mitad de sesión ocurrió una corrección de rumbo importante: quedó establecido que MisFinanzas NO es una app de uso personal — es un producto comercial en desarrollo para vender en App Store y Play Store. Esto había quedado implícito en la documentación de origen (Especificación, Estudio Exhaustivo) pero se estaba perdiendo en el lenguaje de las tandas recientes. A partir de ahí el día giró hacia amarrar cabos de negocio que llevaban abiertos desde días anteriores: nombre definitivo, precio, y la infraestructura real (dominio + hosting) para poder mostrarle la app a alguien fuera del círculo de testers actual.</w:t>
      </w:r>
    </w:p>
    <w:p>
      <w:pPr>
        <w:spacing w:after="160"/>
      </w:pPr>
      <w:r>
        <w:t xml:space="preserve">Se mantuvo el método de días anteriores (diagnóstico antes de tocar código, verificación con datos concretos, tandas cortas), con una adición: varias tandas de esta sesión incluyeron una ronda extra de verificación después del primer reporte, porque aparecieron números que no cuadraban a primera vista (una diferencia de $50.000 en una prueba de transferencias, una aritmética de promedio diario mal etiquetada en un reporte) — en ambos casos se confirmó que era un error de cómo se redactó el reporte, no un bug real, pero se pidió la prueba de nuevo igual antes de cerrar.</w:t>
      </w:r>
    </w:p>
    <w:p>
      <w:pPr>
        <w:pStyle w:val="Heading1"/>
        <w:spacing w:after="160" w:before="300"/>
      </w:pPr>
      <w:r>
        <w:t xml:space="preserve">2. Cierre de las tandas pendientes del Día 10</w:t>
      </w:r>
    </w:p>
    <w:p>
      <w:pPr>
        <w:spacing w:after="160"/>
      </w:pPr>
      <w:r>
        <w:rPr>
          <w:b/>
          <w:bCs/>
        </w:rPr>
        <w:t xml:space="preserve">Tanda I — </w:t>
      </w:r>
      <w:r>
        <w:t xml:space="preserve">Agrupar Configuración en 3 accordions colapsables ("Categorías y cuentas", "Apariencia", "Funcionamiento") + "Respaldo de datos" suelto. Reutilizó el patrón `cfg-group` ya existente, anidado a 2 niveles. Este mismo patrón se reutilizó más adelante en el día para el desplegable de Insights y para el punto de entrada del onboarding.</w:t>
      </w:r>
    </w:p>
    <w:p>
      <w:pPr>
        <w:spacing w:after="160"/>
      </w:pPr>
      <w:r>
        <w:rPr>
          <w:b/>
          <w:bCs/>
        </w:rPr>
        <w:t xml:space="preserve">Tanda K — </w:t>
      </w:r>
      <w:r>
        <w:t xml:space="preserve">Calendario propio para el rango de fecha incierto en gastos/ingresos fijos ("Hasta el día"), reemplazando el `&lt;input type="number"&gt;` por una cuadrícula de días con resaltado de rango. Replicó el criterio de "rango degenerado" ya existente en `applyFixedRangeMeta()` en vez de inventar uno nuevo.</w:t>
      </w:r>
    </w:p>
    <w:p>
      <w:pPr>
        <w:spacing w:after="160"/>
      </w:pPr>
      <w:r>
        <w:rPr>
          <w:b/>
          <w:bCs/>
        </w:rPr>
        <w:t xml:space="preserve">Tanda J — </w:t>
      </w:r>
      <w:r>
        <w:t xml:space="preserve">Totales de Cuotas Activas/Pagadas en la pestaña Cuotas, sumando sobre el mismo arreglo ya filtrado por cuenta (`filtered`), heredando el filtro de cuenta sin reimplementarlo. Movida a la parte de arriba de la lista en una tanda posterior del mismo día.</w:t>
      </w:r>
    </w:p>
    <w:p>
      <w:pPr>
        <w:spacing w:after="160"/>
      </w:pPr>
      <w:r>
        <w:rPr>
          <w:b/>
          <w:bCs/>
        </w:rPr>
        <w:t xml:space="preserve">Tanda C4 — </w:t>
      </w:r>
      <w:r>
        <w:t xml:space="preserve">Transferencias entre cuentas, la pieza que cerraba la iniciativa multi-cuenta del Día 10. Nuevo tipo de movimiento con impacto $0 en vista Total, término "transferencias netas" agregado a `desgloseDisponible()`, e historial con fila propia. Se detectó y corrigió en una segunda ronda un comportamiento no solicitado (reapuntado automático y silencioso de transferencias al borrar una cuenta) — se reemplazó por una elección explícita del usuario (reapuntar a otra cuenta elegida, o eliminar las transferencias de esa cuenta sin afectar a la contraparte).</w:t>
      </w:r>
    </w:p>
    <w:p>
      <w:pPr>
        <w:pStyle w:val="Heading1"/>
        <w:spacing w:after="160" w:before="300"/>
      </w:pPr>
      <w:r>
        <w:t xml:space="preserve">3. Revisión de Resumen a partir de capturas</w:t>
      </w:r>
    </w:p>
    <w:p>
      <w:pPr>
        <w:spacing w:after="160"/>
      </w:pPr>
      <w:r>
        <w:t xml:space="preserve">El usuario trajo 8 puntos de mejora sobre capturas reales de la app. Se agruparon en tandas por tamaño de riesgo:</w:t>
      </w:r>
    </w:p>
    <w:p>
      <w:pPr>
        <w:spacing w:after="160"/>
      </w:pPr>
      <w:r>
        <w:rPr>
          <w:b/>
          <w:bCs/>
        </w:rPr>
        <w:t xml:space="preserve">Cambios menores (agrupados en una sola tanda) — </w:t>
      </w:r>
      <w:r>
        <w:t xml:space="preserve">fix de z-index (la "x" de insights se sobreponía a la barra de navegación inferior, causa real: `.bottom-zone` sin z-index propio), total de Cuotas movido arriba, filtro "Fijos" agregado al Historial (aplica también a Ingresos, a diferencia de Cuotas/Contado/Crédito), botón "Detalle" ocultado en las vistas de Torta y Barra, y fix del delay al eliminar un tope de gasto (causa real: `saveState()` sin repintar) más el agregado del monto restante para alcanzar el tope.</w:t>
      </w:r>
    </w:p>
    <w:p>
      <w:pPr>
        <w:spacing w:after="160"/>
      </w:pPr>
      <w:r>
        <w:rPr>
          <w:b/>
          <w:bCs/>
        </w:rPr>
        <w:t xml:space="preserve">Cambio grande — Gasto = Contado + Cuotas Pagadas. </w:t>
      </w:r>
      <w:r>
        <w:t xml:space="preserve">Se detectó que la tarjeta de Resumen mezclaba dos criterios (Disponible ya usaba solo cuotas confirmadas; el indicador "Gastos" usaba todas). Se unificó todo bajo una sola fuente (`cuotasPorCategoriaGastoDelMes()`), se invirtió el indicador "Cuotas" (pagadas como cifra principal, total del mes como secundaria), y se corrigió de paso el bug de `yaOcurrio()` en la proyección de fin de mes (clasificaba una cuota como "ya realizada" por fecha, no por confirmación — identificado desde el Día 8). Se decidió, a pedido explícito del usuario, que Historial (Total Gasto y Torta de la pestaña Gastos) se queda con el criterio viejo a propósito, documentado con comentarios en el código para que no se lea como un bug en el futuro. Verificado con una comparación exhaustiva del código pre/post-tanda corriendo ambas versiones en paralelo con el mismo estado: el Disponible no cambió ni un peso.</w:t>
      </w:r>
    </w:p>
    <w:p>
      <w:pPr>
        <w:pStyle w:val="Heading1"/>
        <w:spacing w:after="160" w:before="300"/>
      </w:pPr>
      <w:r>
        <w:t xml:space="preserve">4. Revisión y mejora de Insights financieros</w:t>
      </w:r>
    </w:p>
    <w:p>
      <w:pPr>
        <w:spacing w:after="160"/>
      </w:pPr>
      <w:r>
        <w:rPr>
          <w:b/>
          <w:bCs/>
        </w:rPr>
        <w:t xml:space="preserve">Diagnóstico (solo lectura) — </w:t>
      </w:r>
      <w:r>
        <w:t xml:space="preserve">auditoría de los 5 bloques de Insights contra el criterio nuevo de cuotas confirmadas. Hallazgo principal: el bloque de "Categorías en alerta" podía decir "ninguna categoría en alerta" al lado de un Disponible proyectado deprimido por una cuota grande sin confirmar — cada número era correcto por su propia definición, pero la combinación confundía. Se propusieron 6 mejoras, priorizadas por costo/evidencia.</w:t>
      </w:r>
    </w:p>
    <w:p>
      <w:pPr>
        <w:spacing w:after="160"/>
      </w:pPr>
      <w:r>
        <w:rPr>
          <w:b/>
          <w:bCs/>
        </w:rPr>
        <w:t xml:space="preserve">Implementación de las 3 más baratas — </w:t>
      </w:r>
      <w:r>
        <w:t xml:space="preserve">línea informativa que explica la brecha anterior, fix de un bug preexistente en el umbral del semáforo (usaba ingreso registrado en vez de ingreso proyectado, colapsando el umbral a $0 en meses sin ingreso registrado), y etiquetas "(cerrado)"/"(en curso)" en la comparación mes a mes.</w:t>
      </w:r>
    </w:p>
    <w:p>
      <w:pPr>
        <w:spacing w:after="160"/>
      </w:pPr>
      <w:r>
        <w:rPr>
          <w:b/>
          <w:bCs/>
        </w:rPr>
        <w:t xml:space="preserve">Reestructuración del sistema de descarte — </w:t>
      </w:r>
      <w:r>
        <w:t xml:space="preserve">a pedido del usuario, se reemplazaron las "x" individuales de cada insight por dos grupos: un núcleo fijo siempre visible (semáforo, frase resumen, cuotas por confirmar, y luego también cuotas que terminan pronto) y un desplegable colapsable — llamado primero "Alertas Financieras" y renombrado a </w:t>
      </w:r>
      <w:r>
        <w:rPr>
          <w:b/>
          <w:bCs/>
        </w:rPr>
        <w:t xml:space="preserve">"Más insights"</w:t>
      </w:r>
      <w:r>
        <w:t xml:space="preserve"> por no calzar el nombre original con contenido no alertante — que agrupa el resto, abierto por defecto en cada carga, sin persistir el estado de colapsado.</w:t>
      </w:r>
    </w:p>
    <w:p>
      <w:pPr>
        <w:spacing w:after="160"/>
      </w:pPr>
      <w:r>
        <w:rPr>
          <w:b/>
          <w:bCs/>
        </w:rPr>
        <w:t xml:space="preserve">2 insights nuevos — </w:t>
      </w:r>
      <w:r>
        <w:t xml:space="preserve">"Cuotas por confirmar este mes" (con acceso directo a la pestaña Cuotas) y "Patrón de gasto por día de semana" (promedio diario de fin de semana vs. entre semana, con umbral mínimo de 7 días transcurridos para ser significativo).</w:t>
      </w:r>
    </w:p>
    <w:p>
      <w:pPr>
        <w:spacing w:after="160"/>
      </w:pPr>
      <w:r>
        <w:rPr>
          <w:b/>
          <w:bCs/>
        </w:rPr>
        <w:t xml:space="preserve">Proyección de tendencia (regresión lineal) — </w:t>
      </w:r>
      <w:r>
        <w:t xml:space="preserve">sección nueva, aparte del carrusel de insights, con selector Gasto total/Disponible, dibujada a mano en SVG (mismo patrón que la dona de categorías, sin librería). Con menos de 2 meses cerrados no se puede trazar una recta; con menos de 10 se muestra un aviso de confianza graduado. Verificado con una regresión de 6 meses calculada a mano (mínimos cuadrados) que coincidió exacta con lo que mostró la app.</w:t>
      </w:r>
    </w:p>
    <w:p>
      <w:pPr>
        <w:spacing w:after="160"/>
      </w:pPr>
      <w:r>
        <w:rPr>
          <w:b/>
          <w:bCs/>
        </w:rPr>
        <w:t xml:space="preserve">Fix de la proyección de fin de mes — </w:t>
      </w:r>
      <w:r>
        <w:t xml:space="preserve">el gasto variable estimado usaba un solo promedio diario plano, ignorando el patrón semana/fin de semana ya descubierto en el insight nuevo. Se separó en dos promedios (día de semana / fin de semana) para proyectar cada tipo de día restante con su propio promedio, más un aviso de confianza cuando quedan pocos días transcurridos del mes. Verificado con aritmética a mano: la proyección nueva dio $290.000 contra $328.182 del método viejo, en la dirección esperada.</w:t>
      </w:r>
    </w:p>
    <w:p>
      <w:pPr>
        <w:pStyle w:val="Heading1"/>
        <w:spacing w:after="160" w:before="300"/>
      </w:pPr>
      <w:r>
        <w:t xml:space="preserve">5. Corrección de enfoque de negocio</w:t>
      </w:r>
    </w:p>
    <w:p>
      <w:pPr>
        <w:spacing w:after="160"/>
      </w:pPr>
      <w:r>
        <w:t xml:space="preserve">Quedó establecido explícitamente que el objetivo del proyecto es un producto comercial, no una app de uso personal — corrección que se aplicó de ahí en adelante al lenguaje de los prompts (se dejó de escribir "app de uso personal para ti y tu pareja" como contexto fijo).</w:t>
      </w:r>
    </w:p>
    <w:p>
      <w:pPr>
        <w:spacing w:after="160"/>
      </w:pPr>
      <w:r>
        <w:rPr>
          <w:b/>
          <w:bCs/>
        </w:rPr>
        <w:t xml:space="preserve">Nombre definitivo: Telora.</w:t>
      </w:r>
      <w:r>
        <w:t xml:space="preserve"> Se descartaron dos variantes propuestas por el usuario ("UTelora", "TeloraFA") por diluir la limpieza del nombre sin ganancia real de "internacionalidad". Se verificaron conflictos de marca para varios candidatos del mismo patrón ("-ora"): Tesora quedó descartada (app de finanzas activa con el mismo concepto, en español), Vigora quedó descartada (marca de medicamento conocida), Solvora quedó limpia pero sin resolver. Telora se confirmó sin conflictos directos en tiendas de apps, con el único cuidado de un fondo de venture capital homónimo (categoría distinta).</w:t>
      </w:r>
    </w:p>
    <w:p>
      <w:pPr>
        <w:spacing w:after="160"/>
      </w:pPr>
      <w:r>
        <w:rPr>
          <w:b/>
          <w:bCs/>
        </w:rPr>
        <w:t xml:space="preserve">Precio: se mantiene en $2.990/mes</w:t>
      </w:r>
      <w:r>
        <w:t xml:space="preserve">, según los resultados de la encuesta ya enviada a testers. Plan anual propuesto por el usuario a $1.990/mes equivalente ($23.880/año).</w:t>
      </w:r>
    </w:p>
    <w:p>
      <w:pPr>
        <w:spacing w:after="160"/>
      </w:pPr>
      <w:r>
        <w:rPr>
          <w:b/>
          <w:bCs/>
        </w:rPr>
        <w:t xml:space="preserve">Cruce de rentabilidad. </w:t>
      </w:r>
      <w:r>
        <w:t xml:space="preserve">Con datos reales del Modelo de Costos actualizado al precio confirmado: costo de puesta en marcha conocido ≈ $115.320 CLP (Apple Developer + Google Play, sin costo de desarrollo propio). Se necesitan ~46 suscriptores mensuales o ~6 anuales para cubrir ese costo de una sola vez, y apenas ~4 suscriptores mensuales activos para cubrir el costo recurrente real (la cuota anual de Apple). El plan anual entrega 33% menos ingreso total por usuario que se queda los 12 meses completos, a cambio de asegurar esos 12 meses de una vez — una apuesta razonable dado que el abandono documentado ocurre temprano (mes 2-3), pero sin datos de churn reales todavía para confirmarla. Queda pendiente sumar al modelo el costo variable de IA/OCR (riesgo N1 ya identificado en el Estudio, sin presupuestar porque esas funciones no existen todavía).</w:t>
      </w:r>
    </w:p>
    <w:p>
      <w:pPr>
        <w:pStyle w:val="Heading1"/>
        <w:spacing w:after="160" w:before="300"/>
      </w:pPr>
      <w:r>
        <w:t xml:space="preserve">6. Infraestructura: dominio y hosting</w:t>
      </w:r>
    </w:p>
    <w:p>
      <w:pPr>
        <w:spacing w:after="160"/>
      </w:pPr>
      <w:r>
        <w:t xml:space="preserve">Se registró </w:t>
      </w:r>
      <w:r>
        <w:rPr>
          <w:b/>
          <w:bCs/>
        </w:rPr>
        <w:t xml:space="preserve">telora.cl</w:t>
      </w:r>
      <w:r>
        <w:t xml:space="preserve"> en NIC Chile ($9.990, pagado), incluyendo la activación de la opción de privacidad de datos de contacto. Se configuró Cloudflare (plan Free) como proveedor de DNS, con los 4 registros A y el CNAME `www` apuntando a GitHub Pages (`srcarlos01.github.io`), y se cambiaron los nameservers en NIC Chile a los de Cloudflare. Una vez propagado, se configuró `telora.cl` como dominio personalizado en GitHub Pages — el sitio quedó sirviendo la app en vivo.</w:t>
      </w:r>
    </w:p>
    <w:p>
      <w:pPr>
        <w:spacing w:after="160"/>
      </w:pPr>
      <w:r>
        <w:rPr>
          <w:b/>
          <w:bCs/>
        </w:rPr>
        <w:t xml:space="preserve">Incidente y resolución — </w:t>
      </w:r>
      <w:r>
        <w:t xml:space="preserve">al configurar el dominio personalizado, se descubrió que GitHub Pages redirige automáticamente la URL antigua (`srcarlos01.github.io/MisFinanzas`) hacia `telora.cl`. Como cada dominio tiene su propio `localStorage` en el navegador (son orígenes distintos para efectos de almacenamiento), esto dejó momentáneamente inaccesibles por esa vía los datos ya cargados en la URL antigua — incluidos los de la pareja del usuario. Quitar el dominio personalizado desde GitHub no reabrió el acceso de inmediato (el redirect siguió activo incluso tras forzar un nuevo despliegue manual, por un caché de la capa de enrutamiento de GitHub), pero se resolvió solo tras dejar pasar tiempo. </w:t>
      </w:r>
      <w:r>
        <w:rPr>
          <w:b/>
          <w:bCs/>
        </w:rPr>
        <w:t xml:space="preserve">Ambos — el usuario y su pareja — alcanzaron a descargar su respaldo desde la URL antigua y restaurarlo en `telora.cl` antes de que el dominio personalizado quedara configurado en forma definitiva. Confirmado sin pérdida de datos.</w:t>
      </w:r>
      <w:r>
        <w:t xml:space="preserve"> El dominio quedó, además, con el proxy de Cloudflare activado (antes en modo "solo DNS" a propósito, mientras se emitía el certificado), sumando caché y protección básica sin costo adicional.</w:t>
      </w:r>
    </w:p>
    <w:p>
      <w:pPr>
        <w:pStyle w:val="Heading1"/>
        <w:spacing w:after="160" w:before="300"/>
      </w:pPr>
      <w:r>
        <w:t xml:space="preserve">7. Onboarding interactivo</w:t>
      </w:r>
    </w:p>
    <w:p>
      <w:pPr>
        <w:spacing w:after="160"/>
      </w:pPr>
      <w:r>
        <w:t xml:space="preserve">Se retomó el pendiente de mayor impacto en retención identificado desde el Día 8 (hallazgo P1), corrigiendo el alcance original propuesto por Claude para que calzara con la recomendación específica ya documentada: encuestas de selección (categorías, fuentes de ingreso) en vez de formularios repetidos, y una lista de gastos fijos típicos con monto sugerido y editable en vez de un formulario en blanco por cada uno.</w:t>
      </w:r>
    </w:p>
    <w:p>
      <w:pPr>
        <w:spacing w:after="160"/>
      </w:pPr>
      <w:r>
        <w:rPr>
          <w:b/>
          <w:bCs/>
        </w:rPr>
        <w:t xml:space="preserve">Corrección de los valores por defecto — </w:t>
      </w:r>
      <w:r>
        <w:t xml:space="preserve">se detectó que `DEFAULTS.categorias` y `DEFAULTS.fuentes` seguían siendo datos personales del usuario y su pareja ("Iustax", "Agrupación", categorías con sesgo de género marcado), inapropiados para un producto que se va a vender a cualquier persona. Se reemplazaron por listas genéricas, confirmando primero (con evidencia en el código: `Array.isArray(c.categorias) ? ... : DEFAULTS...`) que el cambio no afecta ningún estado ya inicializado, incluida la cuenta real de la pareja del usuario.</w:t>
      </w:r>
    </w:p>
    <w:p>
      <w:pPr>
        <w:spacing w:after="160"/>
      </w:pPr>
      <w:r>
        <w:rPr>
          <w:b/>
          <w:bCs/>
        </w:rPr>
        <w:t xml:space="preserve">Diseño final de 6 pasos: </w:t>
      </w:r>
      <w:r>
        <w:t xml:space="preserve">fuentes de ingreso (encuesta de selección múltiple) → ingreso mensual (formulario real, loop hasta 5) → categorías de gasto (encuesta, con las básicas pre-marcadas) → gastos fijos típicos (checklist con monto sugerido editable, hasta 5) → cuotas activas (formulario real, loop hasta 5) → una meta (selección única de tipo, con monto sugerido en la mayoría de los casos, sin sugerencia en "Pagar deudas" por ser demasiado variable persona a persona). Se dejó fuera de esta tanda, a propósito, la "encuesta de perfil psicológico" — está documentada como función Premium ligada al Asesor Financiero IA, que todavía no existe.</w:t>
      </w:r>
    </w:p>
    <w:p>
      <w:pPr>
        <w:spacing w:after="160"/>
      </w:pPr>
      <w:r>
        <w:t xml:space="preserve">Se disparó automáticamente en estado vacío, es individualmente saltable paso por paso, y quedó con un botón manual de relanzamiento en Configuración → Funcionamiento, que pre-marca las categorías/fuentes ya personalizadas del usuario en vez de partir de cero. Se encontró y corrigió, durante la verificación, un bug real en la normalización de `migrateBackup()` (comparaba contra el valor ya fusionado con `DEFAULTS`, que siempre es booleano, en vez del valor crudo del respaldo — nunca se ejecutaba). Se verificó explícitamente, a pedido del usuario, el caso de "categoría huérfana" (un gasto fijo sugerido cuya categoría no fue elegida por el usuario en el paso anterior) — la categoría se agrega automáticamente antes de crear el gasto, sin dejar nunca una referencia rota.</w:t>
      </w:r>
    </w:p>
    <w:p>
      <w:pPr>
        <w:pStyle w:val="Heading1"/>
        <w:spacing w:after="160" w:before="300"/>
      </w:pPr>
      <w:r>
        <w:t xml:space="preserve">Anexo — Para continuar el Día 12</w:t>
      </w:r>
    </w:p>
    <w:p>
      <w:pPr>
        <w:pStyle w:val="Heading2"/>
        <w:spacing w:after="120" w:before="200"/>
      </w:pPr>
      <w:r>
        <w:t xml:space="preserve">A. Resuelto — Migración de datos a telora.cl</w:t>
      </w:r>
    </w:p>
    <w:p>
      <w:pPr>
        <w:spacing w:after="160"/>
      </w:pPr>
      <w:r>
        <w:t xml:space="preserve">El incidente del redirect de GitHub Pages (ver sección 6) se resolvió solo tras dejar pasar tiempo. Tanto el usuario como su pareja alcanzaron a rescatar su respaldo desde la URL antigua y restaurarlo en `telora.cl` antes de la configuración definitiva del dominio. Confirmado sin pérdida de datos — no requiere seguimiento.</w:t>
      </w:r>
    </w:p>
    <w:p>
      <w:pPr>
        <w:pStyle w:val="Heading2"/>
        <w:spacing w:after="120" w:before="200"/>
      </w:pPr>
      <w:r>
        <w:t xml:space="preserve">B. Backlog de bloqueadores técnicos (Etapa 1.5, antes de validar con desconocidos)</w:t>
      </w:r>
    </w:p>
    <w:p>
      <w:pPr>
        <w:pStyle w:val="ListParagraph"/>
        <w:numPr>
          <w:ilvl w:val="0"/>
          <w:numId w:val="1"/>
        </w:numPr>
        <w:spacing w:after="100"/>
      </w:pPr>
      <w:r>
        <w:rPr>
          <w:b/>
          <w:bCs/>
        </w:rPr>
        <w:t xml:space="preserve">Importación de cartola bancaria</w:t>
      </w:r>
      <w:r>
        <w:t xml:space="preserve"> — sin iniciar. Marcada en el Estudio como la mejora de mayor retorno (elimina 70-80% del tipeo manual). Candidata a ser la próxima iniciativa grande de código.</w:t>
      </w:r>
    </w:p>
    <w:p>
      <w:pPr>
        <w:pStyle w:val="ListParagraph"/>
        <w:numPr>
          <w:ilvl w:val="0"/>
          <w:numId w:val="1"/>
        </w:numPr>
        <w:spacing w:after="100"/>
      </w:pPr>
      <w:r>
        <w:rPr>
          <w:b/>
          <w:bCs/>
        </w:rPr>
        <w:t xml:space="preserve">Telemetría básica</w:t>
      </w:r>
      <w:r>
        <w:t xml:space="preserve"> — sin iniciar. Necesaria para medir si el onboarding recién construido realmente mejora la retención, en vez de asumirlo.</w:t>
      </w:r>
    </w:p>
    <w:p>
      <w:pPr>
        <w:pStyle w:val="ListParagraph"/>
        <w:numPr>
          <w:ilvl w:val="0"/>
          <w:numId w:val="1"/>
        </w:numPr>
        <w:spacing w:after="100"/>
      </w:pPr>
      <w:r>
        <w:rPr>
          <w:b/>
          <w:bCs/>
        </w:rPr>
        <w:t xml:space="preserve">Blindaje de datos</w:t>
      </w:r>
      <w:r>
        <w:t xml:space="preserve"> — parcialmente hecho en tandas anteriores (respaldo automático, recordatorios). Falta confirmar contra el Estudio qué ítems específicos siguen abiertos.</w:t>
      </w:r>
    </w:p>
    <w:p>
      <w:pPr>
        <w:pStyle w:val="ListParagraph"/>
        <w:numPr>
          <w:ilvl w:val="0"/>
          <w:numId w:val="1"/>
        </w:numPr>
        <w:spacing w:after="100"/>
      </w:pPr>
      <w:r>
        <w:rPr>
          <w:b/>
          <w:bCs/>
        </w:rPr>
        <w:t xml:space="preserve">Android</w:t>
      </w:r>
      <w:r>
        <w:t xml:space="preserve"> — nunca se ha probado en un dispositivo real.</w:t>
      </w:r>
    </w:p>
    <w:p>
      <w:pPr>
        <w:pStyle w:val="Heading2"/>
        <w:spacing w:after="120" w:before="200"/>
      </w:pPr>
      <w:r>
        <w:t xml:space="preserve">C. Backlog de negocio</w:t>
      </w:r>
    </w:p>
    <w:p>
      <w:pPr>
        <w:pStyle w:val="ListParagraph"/>
        <w:numPr>
          <w:ilvl w:val="0"/>
          <w:numId w:val="1"/>
        </w:numPr>
        <w:spacing w:after="100"/>
      </w:pPr>
      <w:r>
        <w:rPr>
          <w:b/>
          <w:bCs/>
        </w:rPr>
        <w:t xml:space="preserve">Link de pago (Flow/Webpay)</w:t>
      </w:r>
      <w:r>
        <w:t xml:space="preserve"> — deliberadamente pospuesto hasta la Etapa 3 (backend), que todavía no existe. No adelantar este trabajo.</w:t>
      </w:r>
    </w:p>
    <w:p>
      <w:pPr>
        <w:pStyle w:val="ListParagraph"/>
        <w:numPr>
          <w:ilvl w:val="0"/>
          <w:numId w:val="1"/>
        </w:numPr>
        <w:spacing w:after="100"/>
      </w:pPr>
      <w:r>
        <w:rPr>
          <w:b/>
          <w:bCs/>
        </w:rPr>
        <w:t xml:space="preserve">Blindaje regulatorio (Ley Fintech)</w:t>
      </w:r>
      <w:r>
        <w:t xml:space="preserve"> — diseñar cuando se construya el Asesor Financiero IA, no antes por separado (la función en sí no existe todavía).</w:t>
      </w:r>
    </w:p>
    <w:p>
      <w:pPr>
        <w:pStyle w:val="ListParagraph"/>
        <w:numPr>
          <w:ilvl w:val="0"/>
          <w:numId w:val="1"/>
        </w:numPr>
        <w:spacing w:after="100"/>
      </w:pPr>
      <w:r>
        <w:rPr>
          <w:b/>
          <w:bCs/>
        </w:rPr>
        <w:t xml:space="preserve">Encuesta de perfil psicológico</w:t>
      </w:r>
      <w:r>
        <w:t xml:space="preserve"> — Premium, ligada al Asesor IA. Mismo criterio que el punto anterior: no construir hasta que el Asesor exista.</w:t>
      </w:r>
    </w:p>
    <w:p>
      <w:pPr>
        <w:pStyle w:val="ListParagraph"/>
        <w:numPr>
          <w:ilvl w:val="0"/>
          <w:numId w:val="1"/>
        </w:numPr>
        <w:spacing w:after="100"/>
      </w:pPr>
      <w:r>
        <w:rPr>
          <w:b/>
          <w:bCs/>
        </w:rPr>
        <w:t xml:space="preserve">Reclutamiento de más testers externos</w:t>
      </w:r>
      <w:r>
        <w:t xml:space="preserve"> — decisión ya tomada por el usuario: esperar a tener el producto terminado, antes de subirlo a tiendas.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2026-09-13T00:35:27.679Z</dcterms:created>
  <dcterms:modified xsi:type="dcterms:W3CDTF">2026-09-13T00:35:27.689Z</dcterms:modified>
</cp:coreProperties>
</file>

<file path=docProps/custom.xml><?xml version="1.0" encoding="utf-8"?>
<Properties xmlns="http://schemas.openxmlformats.org/officeDocument/2006/custom-properties" xmlns:vt="http://schemas.openxmlformats.org/officeDocument/2006/docPropsVTypes"/>
</file>