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2"/>
          <w:szCs w:val="32"/>
        </w:rPr>
        <w:t xml:space="preserve">Telora (ex MisFinanzas)</w:t>
      </w:r>
    </w:p>
    <w:p>
      <w:pPr>
        <w:spacing w:after="300"/>
      </w:pPr>
      <w:r>
        <w:rPr>
          <w:i/>
          <w:iCs/>
        </w:rPr>
        <w:t xml:space="preserve">Resumen del día — 12–13 de septiembre de 2026 (Día 12 del Plan de Acción)</w:t>
      </w:r>
    </w:p>
    <w:p>
      <w:pPr>
        <w:pStyle w:val="Heading1"/>
        <w:spacing w:after="160" w:before="320"/>
      </w:pPr>
      <w:r>
        <w:t xml:space="preserve">1. Contexto de la sesión</w:t>
      </w:r>
    </w:p>
    <w:p>
      <w:pPr>
        <w:spacing w:after="160"/>
      </w:pPr>
      <w:r>
        <w:t xml:space="preserve">El día arrancó con un problema de higiene heredado: al ir a ejecutar la Tanda T6 (escapado de HTML), el árbol de trabajo no estaba limpio — 394 líneas sin commitear correspondientes al onboarding interactivo completo y ya validado del Día 11, más una carpeta </w:t>
      </w:r>
      <w:r>
        <w:rPr>
          <w:i/>
          <w:iCs/>
        </w:rPr>
        <w:t xml:space="preserve">Dia 11/</w:t>
      </w:r>
      <w:r>
        <w:t xml:space="preserve"> sin trackear con su resumen. Ambos se resolvieron primero, en commits separados, antes de tocar cualquier código nuevo.</w:t>
      </w:r>
    </w:p>
    <w:p>
      <w:pPr>
        <w:spacing w:after="160"/>
      </w:pPr>
      <w:r>
        <w:t xml:space="preserve">A partir de ahí el día se dividió en tres frentes claros: (1) seguridad y datos — escapado de HTML (T6) y suite de pruebas del motor financiero (T4); (2) producto — botón "Volver" en el onboarding, botón "Ir a hoy" en Historial, y una serie de ajustes de UI/UX y estética visual; y (3) infraestructura — un deploy atascado sin causa aparente y la deprecación de Node.js 20 en GitHub Actions, con fecha límite real (16 de septiembre).</w:t>
      </w:r>
    </w:p>
    <w:p>
      <w:pPr>
        <w:spacing w:after="160"/>
      </w:pPr>
      <w:r>
        <w:t xml:space="preserve">Se mantuvo el método de días anteriores (diagnóstico antes de tocar código, verificación con evidencia real, tandas cortas), con dos adiciones nuevas: se creó una </w:t>
      </w:r>
      <w:r>
        <w:rPr>
          <w:b/>
          <w:bCs/>
        </w:rPr>
        <w:t xml:space="preserve">guía de referencia propia</w:t>
      </w:r>
      <w:r>
        <w:t xml:space="preserve"> para estructurar prompts de tanda de forma consistente (que se fue actualizando en vivo con los aprendizajes del día), y por primera vez se usó </w:t>
      </w:r>
      <w:r>
        <w:rPr>
          <w:b/>
          <w:bCs/>
        </w:rPr>
        <w:t xml:space="preserve">una red de pruebas automatizada real (T4)</w:t>
      </w:r>
      <w:r>
        <w:t xml:space="preserve"> para verificar que una tanda posterior (Tanda G-2, animaciones) no rompiera el motor financiero — en vez de solo suponerlo.</w:t>
      </w:r>
    </w:p>
    <w:p>
      <w:pPr>
        <w:pStyle w:val="Heading1"/>
        <w:spacing w:after="160" w:before="320"/>
      </w:pPr>
      <w:r>
        <w:t xml:space="preserve">2. Cierre de pendientes heredados del Día 11</w:t>
      </w:r>
    </w:p>
    <w:p>
      <w:pPr>
        <w:spacing w:after="160"/>
      </w:pPr>
      <w:r>
        <w:rPr>
          <w:b/>
          <w:bCs/>
        </w:rPr>
        <w:t xml:space="preserve">Onboarding sin commitear — </w:t>
      </w:r>
      <w:r>
        <w:t xml:space="preserve">394 líneas correspondientes al flujo interactivo de 6 pasos (documentado y ya validado en el Resumen del Día 11), nunca subidas a git. Antes de commitear se comparó el diff completo contra esa descripción — coincidía en su totalidad, sin código a medio escribir — y se verificó de nuevo funcionalmente con un servidor local. Commit </w:t>
      </w:r>
      <w:r>
        <w:rPr>
          <w:rFonts w:ascii="Consolas" w:cs="Consolas" w:eastAsia="Consolas" w:hAnsi="Consolas"/>
        </w:rPr>
        <w:t xml:space="preserve">f740818</w:t>
      </w:r>
      <w:r>
        <w:t xml:space="preserve">.</w:t>
      </w:r>
    </w:p>
    <w:p>
      <w:pPr>
        <w:spacing w:after="160"/>
      </w:pPr>
      <w:r>
        <w:rPr>
          <w:b/>
          <w:bCs/>
        </w:rPr>
        <w:t xml:space="preserve">Carpeta Dia 11/ sin trackear — </w:t>
      </w:r>
      <w:r>
        <w:t xml:space="preserve">Contenía solo el .docx de resumen del día. Se confirmó el precedente real (no supuesto) con </w:t>
      </w:r>
      <w:r>
        <w:rPr>
          <w:rFonts w:ascii="Consolas" w:cs="Consolas" w:eastAsia="Consolas" w:hAnsi="Consolas"/>
        </w:rPr>
        <w:t xml:space="preserve">git log</w:t>
      </w:r>
      <w:r>
        <w:t xml:space="preserve"> contra la carpeta del Día 2, que sí quedó versionada en su momento (commit </w:t>
      </w:r>
      <w:r>
        <w:rPr>
          <w:rFonts w:ascii="Consolas" w:cs="Consolas" w:eastAsia="Consolas" w:hAnsi="Consolas"/>
        </w:rPr>
        <w:t xml:space="preserve">53e11ad</w:t>
      </w:r>
      <w:r>
        <w:t xml:space="preserve">). Se commiteó siguiendo el mismo patrón. Commit </w:t>
      </w:r>
      <w:r>
        <w:rPr>
          <w:rFonts w:ascii="Consolas" w:cs="Consolas" w:eastAsia="Consolas" w:hAnsi="Consolas"/>
        </w:rPr>
        <w:t xml:space="preserve">44a3294</w:t>
      </w:r>
      <w:r>
        <w:t xml:space="preserve">.</w:t>
      </w:r>
    </w:p>
    <w:p>
      <w:pPr>
        <w:pStyle w:val="Heading1"/>
        <w:spacing w:after="160" w:before="320"/>
      </w:pPr>
      <w:r>
        <w:t xml:space="preserve">3. Tanda T6 — Escapado de HTML en datos de usuario (XSS almacenado)</w:t>
      </w:r>
    </w:p>
    <w:p>
      <w:pPr>
        <w:spacing w:after="160"/>
      </w:pPr>
      <w:r>
        <w:t xml:space="preserve">Se agregó </w:t>
      </w:r>
      <w:r>
        <w:rPr>
          <w:rFonts w:ascii="Consolas" w:cs="Consolas" w:eastAsia="Consolas" w:hAnsi="Consolas"/>
        </w:rPr>
        <w:t xml:space="preserve">escHtml(s)</w:t>
      </w:r>
      <w:r>
        <w:t xml:space="preserve"> junto a la ya existente </w:t>
      </w:r>
      <w:r>
        <w:rPr>
          <w:rFonts w:ascii="Consolas" w:cs="Consolas" w:eastAsia="Consolas" w:hAnsi="Consolas"/>
        </w:rPr>
        <w:t xml:space="preserve">escAttr(s)</w:t>
      </w:r>
      <w:r>
        <w:t xml:space="preserve"> (que solo protege atributos, no contenido de </w:t>
      </w:r>
      <w:r>
        <w:rPr>
          <w:rFonts w:ascii="Consolas" w:cs="Consolas" w:eastAsia="Consolas" w:hAnsi="Consolas"/>
        </w:rPr>
        <w:t xml:space="preserve">innerHTML</w:t>
      </w:r>
      <w:r>
        <w:t xml:space="preserve">). La auditoría manual inicial identificó 10 puntos; durante la ejecución y la verificación con payload real (</w:t>
      </w:r>
      <w:r>
        <w:rPr>
          <w:rFonts w:ascii="Consolas" w:cs="Consolas" w:eastAsia="Consolas" w:hAnsi="Consolas"/>
        </w:rPr>
        <w:t xml:space="preserve">&lt;img src=x onerror=alert(1)&gt;</w:t>
      </w:r>
      <w:r>
        <w:t xml:space="preserve">) aparecieron ~16 puntos adicionales no cubiertos por la lista original — incluyendo </w:t>
      </w:r>
      <w:r>
        <w:rPr>
          <w:rFonts w:ascii="Consolas" w:cs="Consolas" w:eastAsia="Consolas" w:hAnsi="Consolas"/>
        </w:rPr>
        <w:t xml:space="preserve">renderHistorial</w:t>
      </w:r>
      <w:r>
        <w:t xml:space="preserve">, la pantalla más usada de la app. Verificado con evidencia programática (</w:t>
      </w:r>
      <w:r>
        <w:rPr>
          <w:rFonts w:ascii="Consolas" w:cs="Consolas" w:eastAsia="Consolas" w:hAnsi="Consolas"/>
        </w:rPr>
        <w:t xml:space="preserve">document.querySelectorAll('img[src="x"]').length === 0</w:t>
      </w:r>
      <w:r>
        <w:t xml:space="preserve"> en cada pantalla) y con nombres normales conteniendo "&amp;" para confirmar ausencia de artefactos. Commit </w:t>
      </w:r>
      <w:r>
        <w:rPr>
          <w:rFonts w:ascii="Consolas" w:cs="Consolas" w:eastAsia="Consolas" w:hAnsi="Consolas"/>
        </w:rPr>
        <w:t xml:space="preserve">5204d81</w:t>
      </w:r>
      <w:r>
        <w:t xml:space="preserve">.</w:t>
      </w:r>
    </w:p>
    <w:p>
      <w:pPr>
        <w:spacing w:after="160"/>
      </w:pPr>
      <w:r>
        <w:rPr>
          <w:b/>
          <w:bCs/>
        </w:rPr>
        <w:t xml:space="preserve">Nota de método: </w:t>
      </w:r>
      <w:r>
        <w:t xml:space="preserve">la auditoría manual (grep + lectura de código) encontró menos de la mitad de los puntos reales. Aprendizaje aplicado desde entonces: partir de un grep sistemático de todas las combinaciones </w:t>
      </w:r>
      <w:r>
        <w:rPr>
          <w:rFonts w:ascii="Consolas" w:cs="Consolas" w:eastAsia="Consolas" w:hAnsi="Consolas"/>
        </w:rPr>
        <w:t xml:space="preserve">innerHTML</w:t>
      </w:r>
      <w:r>
        <w:t xml:space="preserve"> + </w:t>
      </w:r>
      <w:r>
        <w:rPr>
          <w:rFonts w:ascii="Consolas" w:cs="Consolas" w:eastAsia="Consolas" w:hAnsi="Consolas"/>
        </w:rPr>
        <w:t xml:space="preserve">${</w:t>
      </w:r>
      <w:r>
        <w:t xml:space="preserve"> como método principal de descubrimiento, usando la lectura de código solo para confirmar o descartar.</w:t>
      </w:r>
    </w:p>
    <w:p>
      <w:pPr>
        <w:pStyle w:val="Heading1"/>
        <w:spacing w:after="160" w:before="320"/>
      </w:pPr>
      <w:r>
        <w:t xml:space="preserve">4. Botón "Volver" en el onboarding + 2 bugs corregidos</w:t>
      </w:r>
    </w:p>
    <w:p>
      <w:pPr>
        <w:spacing w:after="160"/>
      </w:pPr>
      <w:r>
        <w:t xml:space="preserve">Se agregó navegación hacia atrás en los Pasos 2-6 (</w:t>
      </w:r>
      <w:r>
        <w:rPr>
          <w:rFonts w:ascii="Consolas" w:cs="Consolas" w:eastAsia="Consolas" w:hAnsi="Consolas"/>
        </w:rPr>
        <w:t xml:space="preserve">onboardingAvanzarA(paso-1)</w:t>
      </w:r>
      <w:r>
        <w:t xml:space="preserve">), ubicada junto al indicador de progreso, no como un tercer botón apilado.</w:t>
      </w:r>
    </w:p>
    <w:p>
      <w:pPr>
        <w:spacing w:after="160"/>
      </w:pPr>
      <w:r>
        <w:rPr>
          <w:b/>
          <w:bCs/>
        </w:rPr>
        <w:t xml:space="preserve">Riesgo confirmado — duplicación en el Paso 4 — </w:t>
      </w:r>
      <w:r>
        <w:t xml:space="preserve">marcar un ítem y presionar "Continuar" crea un gasto fijo real de inmediato; volver y repetir duplicaba el registro. Corregido con </w:t>
      </w:r>
      <w:r>
        <w:rPr>
          <w:rFonts w:ascii="Consolas" w:cs="Consolas" w:eastAsia="Consolas" w:hAnsi="Consolas"/>
        </w:rPr>
        <w:t xml:space="preserve">onboardingFijosCreados</w:t>
      </w:r>
      <w:r>
        <w:t xml:space="preserve"> (mapa de índices ya creados en la sesión).</w:t>
      </w:r>
    </w:p>
    <w:p>
      <w:pPr>
        <w:spacing w:after="160"/>
      </w:pPr>
      <w:r>
        <w:rPr>
          <w:b/>
          <w:bCs/>
        </w:rPr>
        <w:t xml:space="preserve">Hallazgo no anticipado — Pasos 1 y 3 perdían la selección — </w:t>
      </w:r>
      <w:r>
        <w:t xml:space="preserve">solo restauraban las casillas marcadas en el camino de "relanzamiento", no en una sesión normal de primera vez — sin esta corrección, "Volver" habría sido inútil en esos pasos. Corregido con variables de sesión </w:t>
      </w:r>
      <w:r>
        <w:rPr>
          <w:rFonts w:ascii="Consolas" w:cs="Consolas" w:eastAsia="Consolas" w:hAnsi="Consolas"/>
        </w:rPr>
        <w:t xml:space="preserve">onboardingFuentesSesion</w:t>
      </w:r>
      <w:r>
        <w:t xml:space="preserve">/</w:t>
      </w:r>
      <w:r>
        <w:rPr>
          <w:rFonts w:ascii="Consolas" w:cs="Consolas" w:eastAsia="Consolas" w:hAnsi="Consolas"/>
        </w:rPr>
        <w:t xml:space="preserve">onboardingCategoriasSesion</w:t>
      </w:r>
      <w:r>
        <w:t xml:space="preserve">.</w:t>
      </w:r>
    </w:p>
    <w:p>
      <w:pPr>
        <w:spacing w:after="160"/>
      </w:pPr>
      <w:r>
        <w:t xml:space="preserve">Commit </w:t>
      </w:r>
      <w:r>
        <w:rPr>
          <w:rFonts w:ascii="Consolas" w:cs="Consolas" w:eastAsia="Consolas" w:hAnsi="Consolas"/>
        </w:rPr>
        <w:t xml:space="preserve">6328c21</w:t>
      </w:r>
      <w:r>
        <w:t xml:space="preserve">.</w:t>
      </w:r>
    </w:p>
    <w:p>
      <w:pPr>
        <w:pStyle w:val="Heading1"/>
        <w:spacing w:after="160" w:before="320"/>
      </w:pPr>
      <w:r>
        <w:t xml:space="preserve">5. Corrección — edición y quite de gastos fijos ya creados (Paso 4)</w:t>
      </w:r>
    </w:p>
    <w:p>
      <w:pPr>
        <w:spacing w:after="160"/>
      </w:pPr>
      <w:r>
        <w:t xml:space="preserve">Un chequeo de diagnóstico posterior (sin tocar código) confirmó dos comportamientos no deseados: editar el monto de un ítem ya creado se descartaba en silencio, y desmarcar un ítem ya creado dejaba el gasto huérfano sin que la UI lo reflejara. Se decidió, por coherencia con la intención original de "Volver" ("por si alguien se arrepiente"), permitir editar/quitar desde el propio Paso 4.</w:t>
      </w:r>
    </w:p>
    <w:p>
      <w:pPr>
        <w:spacing w:after="160"/>
      </w:pPr>
      <w:r>
        <w:t xml:space="preserve">La corrección replicó el criterio ya existente en el resto de la app para gastos tipo 'Fijo': nunca se borran, se les corta la recurrencia (</w:t>
      </w:r>
      <w:r>
        <w:rPr>
          <w:rFonts w:ascii="Consolas" w:cs="Consolas" w:eastAsia="Consolas" w:hAnsi="Consolas"/>
        </w:rPr>
        <w:t xml:space="preserve">fixedEndMonthKey</w:t>
      </w:r>
      <w:r>
        <w:t xml:space="preserve">). Se cambió </w:t>
      </w:r>
      <w:r>
        <w:rPr>
          <w:rFonts w:ascii="Consolas" w:cs="Consolas" w:eastAsia="Consolas" w:hAnsi="Consolas"/>
        </w:rPr>
        <w:t xml:space="preserve">onboardingFijosCreados</w:t>
      </w:r>
      <w:r>
        <w:t xml:space="preserve"> de </w:t>
      </w:r>
      <w:r>
        <w:rPr>
          <w:rFonts w:ascii="Consolas" w:cs="Consolas" w:eastAsia="Consolas" w:hAnsi="Consolas"/>
        </w:rPr>
        <w:t xml:space="preserve">Set&lt;idx&gt;</w:t>
      </w:r>
      <w:r>
        <w:t xml:space="preserve"> a </w:t>
      </w:r>
      <w:r>
        <w:rPr>
          <w:rFonts w:ascii="Consolas" w:cs="Consolas" w:eastAsia="Consolas" w:hAnsi="Consolas"/>
        </w:rPr>
        <w:t xml:space="preserve">Map&lt;idx, id-real&gt;</w:t>
      </w:r>
      <w:r>
        <w:t xml:space="preserve"> para evitar depender de coincidencia por nombre. Decisión de diseño resuelta con evidencia, no en silencio: se usó </w:t>
      </w:r>
      <w:r>
        <w:rPr>
          <w:rFonts w:ascii="Consolas" w:cs="Consolas" w:eastAsia="Consolas" w:hAnsi="Consolas"/>
        </w:rPr>
        <w:t xml:space="preserve">monthKey(new Date())</w:t>
      </w:r>
      <w:r>
        <w:t xml:space="preserve"> en vez de </w:t>
      </w:r>
      <w:r>
        <w:rPr>
          <w:rFonts w:ascii="Consolas" w:cs="Consolas" w:eastAsia="Consolas" w:hAnsi="Consolas"/>
        </w:rPr>
        <w:t xml:space="preserve">monthKey(currentDate)</w:t>
      </w:r>
      <w:r>
        <w:t xml:space="preserve"> para evitar un estado roto si el usuario navegó el calendario antes de relanzar el onboarding. Commit </w:t>
      </w:r>
      <w:r>
        <w:rPr>
          <w:rFonts w:ascii="Consolas" w:cs="Consolas" w:eastAsia="Consolas" w:hAnsi="Consolas"/>
        </w:rPr>
        <w:t xml:space="preserve">7f2ad7c</w:t>
      </w:r>
      <w:r>
        <w:t xml:space="preserve">.</w:t>
      </w:r>
    </w:p>
    <w:p>
      <w:pPr>
        <w:pStyle w:val="Heading1"/>
        <w:spacing w:after="160" w:before="320"/>
      </w:pPr>
      <w:r>
        <w:t xml:space="preserve">6. Deploy atascado y actualización de pages.yml (Node.js 20 → 24)</w:t>
      </w:r>
    </w:p>
    <w:p>
      <w:pPr>
        <w:spacing w:after="160"/>
      </w:pPr>
      <w:r>
        <w:rPr>
          <w:b/>
          <w:bCs/>
        </w:rPr>
        <w:t xml:space="preserve">Deploy atascado — </w:t>
      </w:r>
      <w:r>
        <w:t xml:space="preserve">un run quedó en cola sin runner asignado (~14 minutos, contra los ~20s habituales). Se descartó primero que fuera un incidente de GitHub (confirmado "Operational" en githubstatus.com); se descartaron concurrencia, aprobaciones pendientes y política de rama. Se resolvió con cancelación manual + re-run desde la UI de GitHub — sin causa raíz identificada del lado del repo, atribuible a una asignación de runner que simplemente no ocurrió.</w:t>
      </w:r>
    </w:p>
    <w:p>
      <w:pPr>
        <w:spacing w:after="160"/>
      </w:pPr>
      <w:r>
        <w:rPr>
          <w:b/>
          <w:bCs/>
        </w:rPr>
        <w:t xml:space="preserve">pages.yml — deprecación de Node 20 — </w:t>
      </w:r>
      <w:r>
        <w:t xml:space="preserve">GitHub retira Node.js 20 de sus runners el 16 de septiembre de 2026. Se investigaron y confirmaron (no asumidas) las versiones correctas con soporte Node 24 para las 4 acciones del workflow: </w:t>
      </w:r>
      <w:r>
        <w:rPr>
          <w:rFonts w:ascii="Consolas" w:cs="Consolas" w:eastAsia="Consolas" w:hAnsi="Consolas"/>
        </w:rPr>
        <w:t xml:space="preserve">checkout@v4→v7</w:t>
      </w:r>
      <w:r>
        <w:t xml:space="preserve">, </w:t>
      </w:r>
      <w:r>
        <w:rPr>
          <w:rFonts w:ascii="Consolas" w:cs="Consolas" w:eastAsia="Consolas" w:hAnsi="Consolas"/>
        </w:rPr>
        <w:t xml:space="preserve">configure-pages@v5→v6</w:t>
      </w:r>
      <w:r>
        <w:t xml:space="preserve">, </w:t>
      </w:r>
      <w:r>
        <w:rPr>
          <w:rFonts w:ascii="Consolas" w:cs="Consolas" w:eastAsia="Consolas" w:hAnsi="Consolas"/>
        </w:rPr>
        <w:t xml:space="preserve">upload-pages-artifact@v3→v5</w:t>
      </w:r>
      <w:r>
        <w:t xml:space="preserve"> (corrección sobre el plan original, que asumía </w:t>
      </w:r>
      <w:r>
        <w:rPr>
          <w:rFonts w:ascii="Consolas" w:cs="Consolas" w:eastAsia="Consolas" w:hAnsi="Consolas"/>
        </w:rPr>
        <w:t xml:space="preserve">upload-artifact</w:t>
      </w:r>
      <w:r>
        <w:t xml:space="preserve"> genérico), </w:t>
      </w:r>
      <w:r>
        <w:rPr>
          <w:rFonts w:ascii="Consolas" w:cs="Consolas" w:eastAsia="Consolas" w:hAnsi="Consolas"/>
        </w:rPr>
        <w:t xml:space="preserve">deploy-pages@v4→v5</w:t>
      </w:r>
      <w:r>
        <w:t xml:space="preserve">. Se confirmó que el trigger real del workflow (</w:t>
      </w:r>
      <w:r>
        <w:rPr>
          <w:rFonts w:ascii="Consolas" w:cs="Consolas" w:eastAsia="Consolas" w:hAnsi="Consolas"/>
        </w:rPr>
        <w:t xml:space="preserve">push</w:t>
      </w:r>
      <w:r>
        <w:t xml:space="preserve">/</w:t>
      </w:r>
      <w:r>
        <w:rPr>
          <w:rFonts w:ascii="Consolas" w:cs="Consolas" w:eastAsia="Consolas" w:hAnsi="Consolas"/>
        </w:rPr>
        <w:t xml:space="preserve">workflow_dispatch</w:t>
      </w:r>
      <w:r>
        <w:t xml:space="preserve">) no activa el único cambio de comportamiento real de </w:t>
      </w:r>
      <w:r>
        <w:rPr>
          <w:rFonts w:ascii="Consolas" w:cs="Consolas" w:eastAsia="Consolas" w:hAnsi="Consolas"/>
        </w:rPr>
        <w:t xml:space="preserve">checkout@v7</w:t>
      </w:r>
      <w:r>
        <w:t xml:space="preserve"> (bloqueo de forks en </w:t>
      </w:r>
      <w:r>
        <w:rPr>
          <w:rFonts w:ascii="Consolas" w:cs="Consolas" w:eastAsia="Consolas" w:hAnsi="Consolas"/>
        </w:rPr>
        <w:t xml:space="preserve">pull_request_target</w:t>
      </w:r>
      <w:r>
        <w:t xml:space="preserve">). Deploy verificado en Success, sin advertencias. Commit </w:t>
      </w:r>
      <w:r>
        <w:rPr>
          <w:rFonts w:ascii="Consolas" w:cs="Consolas" w:eastAsia="Consolas" w:hAnsi="Consolas"/>
        </w:rPr>
        <w:t xml:space="preserve">d6ead88</w:t>
      </w:r>
      <w:r>
        <w:t xml:space="preserve">.</w:t>
      </w:r>
    </w:p>
    <w:p>
      <w:pPr>
        <w:pStyle w:val="Heading1"/>
        <w:spacing w:after="160" w:before="320"/>
      </w:pPr>
      <w:r>
        <w:t xml:space="preserve">7. Botón "Ir a hoy" en Historial + copy de bienvenida del onboarding</w:t>
      </w:r>
    </w:p>
    <w:p>
      <w:pPr>
        <w:spacing w:after="160"/>
      </w:pPr>
      <w:r>
        <w:t xml:space="preserve">Botón flotante que lleva al día actual, cambiando de mes si hace falta y centrando el separador de "hoy" en el viewport. Visible solo cuando el usuario está lejos del día actual (IntersectionObserver con </w:t>
      </w:r>
      <w:r>
        <w:rPr>
          <w:rFonts w:ascii="Consolas" w:cs="Consolas" w:eastAsia="Consolas" w:hAnsi="Consolas"/>
        </w:rPr>
        <w:t xml:space="preserve">root: #app</w:t>
      </w:r>
      <w:r>
        <w:t xml:space="preserve">, el contenedor real de scroll — no el viewport, hallazgo técnico de esta tanda). Respeta el bloqueo de navegación existente cuando hay un rango de fechas activo (</w:t>
      </w:r>
      <w:r>
        <w:rPr>
          <w:rFonts w:ascii="Consolas" w:cs="Consolas" w:eastAsia="Consolas" w:hAnsi="Consolas"/>
        </w:rPr>
        <w:t xml:space="preserve">hRango</w:t>
      </w:r>
      <w:r>
        <w:t xml:space="preserve">).</w:t>
      </w:r>
    </w:p>
    <w:p>
      <w:pPr>
        <w:spacing w:after="160"/>
      </w:pPr>
      <w:r>
        <w:t xml:space="preserve">El texto de bienvenida del onboarding ahora indica el tiempo estimado ("menos de 90 segundos", meta ya documentada en el Estudio Exhaustivo, no un número nuevo) y deja explícito que no se necesitan cifras exactas. Commit incluido en </w:t>
      </w:r>
      <w:r>
        <w:rPr>
          <w:rFonts w:ascii="Consolas" w:cs="Consolas" w:eastAsia="Consolas" w:hAnsi="Consolas"/>
        </w:rPr>
        <w:t xml:space="preserve">2f7…</w:t>
      </w:r>
      <w:r>
        <w:t xml:space="preserve"> (misma tanda).</w:t>
      </w:r>
    </w:p>
    <w:p>
      <w:pPr>
        <w:pStyle w:val="Heading1"/>
        <w:spacing w:after="160" w:before="320"/>
      </w:pPr>
      <w:r>
        <w:t xml:space="preserve">8. Ajustes estéticos — botón Hoy, botón Volver, copy "Saltar"</w:t>
      </w:r>
    </w:p>
    <w:p>
      <w:pPr>
        <w:spacing w:after="160"/>
      </w:pPr>
      <w:r>
        <w:rPr>
          <w:b/>
          <w:bCs/>
        </w:rPr>
        <w:t xml:space="preserve">Botón "Hoy" — </w:t>
      </w:r>
      <w:r>
        <w:t xml:space="preserve">estética con la variable de acento real de la app (no un color inventado), destino del scroll centrado (</w:t>
      </w:r>
      <w:r>
        <w:rPr>
          <w:rFonts w:ascii="Consolas" w:cs="Consolas" w:eastAsia="Consolas" w:hAnsi="Consolas"/>
        </w:rPr>
        <w:t xml:space="preserve">block:'center'</w:t>
      </w:r>
      <w:r>
        <w:t xml:space="preserve">), y posición dinámica: aparece arriba si el día de hoy quedó por encima del viewport (alejándose hacia el pasado) o abajo si quedó por delante — calculado en el mismo callback del observer comparando </w:t>
      </w:r>
      <w:r>
        <w:rPr>
          <w:rFonts w:ascii="Consolas" w:cs="Consolas" w:eastAsia="Consolas" w:hAnsi="Consolas"/>
        </w:rPr>
        <w:t xml:space="preserve">boundingClientRect</w:t>
      </w:r>
      <w:r>
        <w:t xml:space="preserve"> contra el contenedor raíz.</w:t>
      </w:r>
    </w:p>
    <w:p>
      <w:pPr>
        <w:spacing w:after="160"/>
      </w:pPr>
      <w:r>
        <w:rPr>
          <w:b/>
          <w:bCs/>
        </w:rPr>
        <w:t xml:space="preserve">Botón "Volver" — </w:t>
      </w:r>
      <w:r>
        <w:t xml:space="preserve">pasó de texto/link plano a forma de botón real (estilo </w:t>
      </w:r>
      <w:r>
        <w:rPr>
          <w:rFonts w:ascii="Consolas" w:cs="Consolas" w:eastAsia="Consolas" w:hAnsi="Consolas"/>
        </w:rPr>
        <w:t xml:space="preserve">btn-ghost</w:t>
      </w:r>
      <w:r>
        <w:t xml:space="preserve"> compacto), manteniendo jerarquía visual menor que "Continuar"/"Saltar".</w:t>
      </w:r>
    </w:p>
    <w:p>
      <w:pPr>
        <w:spacing w:after="160"/>
      </w:pPr>
      <w:r>
        <w:rPr>
          <w:b/>
          <w:bCs/>
        </w:rPr>
        <w:t xml:space="preserve">Copy "Saltar" — </w:t>
      </w:r>
      <w:r>
        <w:t xml:space="preserve">"Saltar este paso" renombrado a "Saltar" en los 6 pasos, incluida la rama condicional de los Pasos 2 y 5 (dejando "Continuar" intacto).</w:t>
      </w:r>
    </w:p>
    <w:p>
      <w:pPr>
        <w:spacing w:after="160"/>
      </w:pPr>
      <w:r>
        <w:t xml:space="preserve">Commit </w:t>
      </w:r>
      <w:r>
        <w:rPr>
          <w:rFonts w:ascii="Consolas" w:cs="Consolas" w:eastAsia="Consolas" w:hAnsi="Consolas"/>
        </w:rPr>
        <w:t xml:space="preserve">d60ecc9</w:t>
      </w:r>
      <w:r>
        <w:t xml:space="preserve">.</w:t>
      </w:r>
    </w:p>
    <w:p>
      <w:pPr>
        <w:pStyle w:val="Heading1"/>
        <w:spacing w:after="160" w:before="320"/>
      </w:pPr>
      <w:r>
        <w:t xml:space="preserve">9. Exclusión de tests.html del deploy público</w:t>
      </w:r>
    </w:p>
    <w:p>
      <w:pPr>
        <w:spacing w:after="160"/>
      </w:pPr>
      <w:r>
        <w:t xml:space="preserve">Al construir el harness de pruebas (sección 10), quedó accesible en </w:t>
      </w:r>
      <w:r>
        <w:rPr>
          <w:rFonts w:ascii="Consolas" w:cs="Consolas" w:eastAsia="Consolas" w:hAnsi="Consolas"/>
        </w:rPr>
        <w:t xml:space="preserve">telora.cl/tests.html</w:t>
      </w:r>
      <w:r>
        <w:t xml:space="preserve"> porque </w:t>
      </w:r>
      <w:r>
        <w:rPr>
          <w:rFonts w:ascii="Consolas" w:cs="Consolas" w:eastAsia="Consolas" w:hAnsi="Consolas"/>
        </w:rPr>
        <w:t xml:space="preserve">pages.yml</w:t>
      </w:r>
      <w:r>
        <w:t xml:space="preserve"> sube el árbol completo. Sin riesgo de datos, pero incorrecto para un producto comercial. </w:t>
      </w:r>
      <w:r>
        <w:rPr>
          <w:rFonts w:ascii="Consolas" w:cs="Consolas" w:eastAsia="Consolas" w:hAnsi="Consolas"/>
        </w:rPr>
        <w:t xml:space="preserve">actions/upload-pages-artifact</w:t>
      </w:r>
      <w:r>
        <w:t xml:space="preserve"> no tiene una opción de exclusión — se agregó un paso </w:t>
      </w:r>
      <w:r>
        <w:rPr>
          <w:rFonts w:ascii="Consolas" w:cs="Consolas" w:eastAsia="Consolas" w:hAnsi="Consolas"/>
        </w:rPr>
        <w:t xml:space="preserve">rm -f tests.html</w:t>
      </w:r>
      <w:r>
        <w:t xml:space="preserve"> sobre el checkout efímero del runner, antes de subir el artefacto (el archivo sigue existiendo en el repo real). Verificado: 404 real en producción tras el deploy. Commit </w:t>
      </w:r>
      <w:r>
        <w:rPr>
          <w:rFonts w:ascii="Consolas" w:cs="Consolas" w:eastAsia="Consolas" w:hAnsi="Consolas"/>
        </w:rPr>
        <w:t xml:space="preserve">7eec7f7</w:t>
      </w:r>
      <w:r>
        <w:t xml:space="preserve">.</w:t>
      </w:r>
    </w:p>
    <w:p>
      <w:pPr>
        <w:pStyle w:val="Heading1"/>
        <w:spacing w:after="160" w:before="320"/>
      </w:pPr>
      <w:r>
        <w:t xml:space="preserve">10. T4 — Suite de pruebas del motor financiero (primera vez en el proyecto)</w:t>
      </w:r>
    </w:p>
    <w:p>
      <w:pPr>
        <w:spacing w:after="160"/>
      </w:pPr>
      <w:r>
        <w:t xml:space="preserve">Se descartó extraer y evaluar el script de </w:t>
      </w:r>
      <w:r>
        <w:rPr>
          <w:rFonts w:ascii="Consolas" w:cs="Consolas" w:eastAsia="Consolas" w:hAnsi="Consolas"/>
        </w:rPr>
        <w:t xml:space="preserve">index.html</w:t>
      </w:r>
      <w:r>
        <w:t xml:space="preserve"> en una página en blanco (el script corre código de nivel superior sin ningún guard </w:t>
      </w:r>
      <w:r>
        <w:rPr>
          <w:rFonts w:ascii="Consolas" w:cs="Consolas" w:eastAsia="Consolas" w:hAnsi="Consolas"/>
        </w:rPr>
        <w:t xml:space="preserve">DOMContentLoaded</w:t>
      </w:r>
      <w:r>
        <w:t xml:space="preserve">, asumiendo el DOM real completo). Enfoque adoptado: cargar </w:t>
      </w:r>
      <w:r>
        <w:rPr>
          <w:rFonts w:ascii="Consolas" w:cs="Consolas" w:eastAsia="Consolas" w:hAnsi="Consolas"/>
        </w:rPr>
        <w:t xml:space="preserve">index.html</w:t>
      </w:r>
      <w:r>
        <w:t xml:space="preserve"> completo en un </w:t>
      </w:r>
      <w:r>
        <w:rPr>
          <w:rFonts w:ascii="Consolas" w:cs="Consolas" w:eastAsia="Consolas" w:hAnsi="Consolas"/>
        </w:rPr>
        <w:t xml:space="preserve">&lt;iframe&gt;</w:t>
      </w:r>
      <w:r>
        <w:t xml:space="preserve"> oculto dentro de un </w:t>
      </w:r>
      <w:r>
        <w:rPr>
          <w:rFonts w:ascii="Consolas" w:cs="Consolas" w:eastAsia="Consolas" w:hAnsi="Consolas"/>
        </w:rPr>
        <w:t xml:space="preserve">tests.html</w:t>
      </w:r>
      <w:r>
        <w:t xml:space="preserve"> nuevo, sin librerías externas — consistente con la regla del proyecto.</w:t>
      </w:r>
    </w:p>
    <w:p>
      <w:pPr>
        <w:spacing w:after="160"/>
      </w:pPr>
      <w:r>
        <w:rPr>
          <w:b/>
          <w:bCs/>
        </w:rPr>
        <w:t xml:space="preserve">Parte 1 — Diagnóstico — </w:t>
      </w:r>
      <w:r>
        <w:t xml:space="preserve">hallazgo central: </w:t>
      </w:r>
      <w:r>
        <w:rPr>
          <w:rFonts w:ascii="Consolas" w:cs="Consolas" w:eastAsia="Consolas" w:hAnsi="Consolas"/>
        </w:rPr>
        <w:t xml:space="preserve">let state</w:t>
      </w:r>
      <w:r>
        <w:t xml:space="preserve"> a nivel superior de un script clásico </w:t>
      </w:r>
      <w:r>
        <w:rPr>
          <w:b/>
          <w:bCs/>
        </w:rPr>
        <w:t xml:space="preserve">no se expone como propiedad de </w:t>
      </w:r>
      <w:r>
        <w:rPr>
          <w:rFonts w:ascii="Consolas" w:cs="Consolas" w:eastAsia="Consolas" w:hAnsi="Consolas"/>
          <w:b/>
          <w:bCs/>
        </w:rPr>
        <w:t xml:space="preserve">window</w:t>
      </w:r>
      <w:r>
        <w:t xml:space="preserve">. Asignar </w:t>
      </w:r>
      <w:r>
        <w:rPr>
          <w:rFonts w:ascii="Consolas" w:cs="Consolas" w:eastAsia="Consolas" w:hAnsi="Consolas"/>
        </w:rPr>
        <w:t xml:space="preserve">iframe.contentWindow.state = {...}</w:t>
      </w:r>
      <w:r>
        <w:t xml:space="preserve"> crea una propiedad aislada, invisible para el código real — el síntoma es silencioso (resultados en 0, sin error). Resuelto con </w:t>
      </w:r>
      <w:r>
        <w:rPr>
          <w:rFonts w:ascii="Consolas" w:cs="Consolas" w:eastAsia="Consolas" w:hAnsi="Consolas"/>
        </w:rPr>
        <w:t xml:space="preserve">iframe.contentWindow.eval('state = ' + JSON.stringify(fixture))</w:t>
      </w:r>
      <w:r>
        <w:t xml:space="preserve">, que sí muta el binding real. Confirmadas también dos cachés en memoria a resetear entre casos (</w:t>
      </w:r>
      <w:r>
        <w:rPr>
          <w:rFonts w:ascii="Consolas" w:cs="Consolas" w:eastAsia="Consolas" w:hAnsi="Consolas"/>
        </w:rPr>
        <w:t xml:space="preserve">MONEY_CACHE</w:t>
      </w:r>
      <w:r>
        <w:t xml:space="preserve">, </w:t>
      </w:r>
      <w:r>
        <w:rPr>
          <w:rFonts w:ascii="Consolas" w:cs="Consolas" w:eastAsia="Consolas" w:hAnsi="Consolas"/>
        </w:rPr>
        <w:t xml:space="preserve">SALDO_ROW_CACHE</w:t>
      </w:r>
      <w:r>
        <w:t xml:space="preserve">). 10/10 asserts. Commit </w:t>
      </w:r>
      <w:r>
        <w:rPr>
          <w:rFonts w:ascii="Consolas" w:cs="Consolas" w:eastAsia="Consolas" w:hAnsi="Consolas"/>
        </w:rPr>
        <w:t xml:space="preserve">c6a8bf6</w:t>
      </w:r>
      <w:r>
        <w:t xml:space="preserve">.</w:t>
      </w:r>
    </w:p>
    <w:p>
      <w:pPr>
        <w:spacing w:after="160"/>
      </w:pPr>
      <w:r>
        <w:rPr>
          <w:b/>
          <w:bCs/>
        </w:rPr>
        <w:t xml:space="preserve">Parte 2 — Cobertura ampliada — </w:t>
      </w:r>
      <w:r>
        <w:t xml:space="preserve">2 casos adicionales (normal + límite) en las 4 funciones ya probadas, más 10 funciones nuevas con 1 caso cada una — incluyendo, con prioridad alta, el clúster de estado de cuotas (</w:t>
      </w:r>
      <w:r>
        <w:rPr>
          <w:rFonts w:ascii="Consolas" w:cs="Consolas" w:eastAsia="Consolas" w:hAnsi="Consolas"/>
        </w:rPr>
        <w:t xml:space="preserve">cuotaVencidaPorFecha</w:t>
      </w:r>
      <w:r>
        <w:t xml:space="preserve">, </w:t>
      </w:r>
      <w:r>
        <w:rPr>
          <w:rFonts w:ascii="Consolas" w:cs="Consolas" w:eastAsia="Consolas" w:hAnsi="Consolas"/>
        </w:rPr>
        <w:t xml:space="preserve">cuotaPagadaDelMes</w:t>
      </w:r>
      <w:r>
        <w:t xml:space="preserve">, </w:t>
      </w:r>
      <w:r>
        <w:rPr>
          <w:rFonts w:ascii="Consolas" w:cs="Consolas" w:eastAsia="Consolas" w:hAnsi="Consolas"/>
        </w:rPr>
        <w:t xml:space="preserve">cuotaEstadoMes</w:t>
      </w:r>
      <w:r>
        <w:t xml:space="preserve">, </w:t>
      </w:r>
      <w:r>
        <w:rPr>
          <w:rFonts w:ascii="Consolas" w:cs="Consolas" w:eastAsia="Consolas" w:hAnsi="Consolas"/>
        </w:rPr>
        <w:t xml:space="preserve">cuotasSinConfirmarDelMes</w:t>
      </w:r>
      <w:r>
        <w:t xml:space="preserve">), construido deliberadamente con una deuda vencida-sin-confirmar y otra pagada-antes-de-vencer para confirmar que el criterio histórico (invertido y ya corregido una vez) sigue vigente. Se detectó por adelantado, sin necesidad de que fallara primero, que </w:t>
      </w:r>
      <w:r>
        <w:rPr>
          <w:rFonts w:ascii="Consolas" w:cs="Consolas" w:eastAsia="Consolas" w:hAnsi="Consolas"/>
        </w:rPr>
        <w:t xml:space="preserve">monthKey</w:t>
      </w:r>
      <w:r>
        <w:t xml:space="preserve"> (también </w:t>
      </w:r>
      <w:r>
        <w:rPr>
          <w:rFonts w:ascii="Consolas" w:cs="Consolas" w:eastAsia="Consolas" w:hAnsi="Consolas"/>
        </w:rPr>
        <w:t xml:space="preserve">const</w:t>
      </w:r>
      <w:r>
        <w:t xml:space="preserve"> de nivel superior) tenía el mismo problema de exposición que </w:t>
      </w:r>
      <w:r>
        <w:rPr>
          <w:rFonts w:ascii="Consolas" w:cs="Consolas" w:eastAsia="Consolas" w:hAnsi="Consolas"/>
        </w:rPr>
        <w:t xml:space="preserve">state</w:t>
      </w:r>
      <w:r>
        <w:t xml:space="preserve"> — resuelto con un helper local en vez de forzar el acceso al binding real, por no necesitar mutación. 39/39 asserts. Commit </w:t>
      </w:r>
      <w:r>
        <w:rPr>
          <w:rFonts w:ascii="Consolas" w:cs="Consolas" w:eastAsia="Consolas" w:hAnsi="Consolas"/>
        </w:rPr>
        <w:t xml:space="preserve">d08d9e0</w:t>
      </w:r>
      <w:r>
        <w:t xml:space="preserve">.</w:t>
      </w:r>
    </w:p>
    <w:p>
      <w:pPr>
        <w:spacing w:after="160"/>
      </w:pPr>
      <w:r>
        <w:rPr>
          <w:b/>
          <w:bCs/>
        </w:rPr>
        <w:t xml:space="preserve">Alcance real, sin sobre-declarar: </w:t>
      </w:r>
      <w:r>
        <w:t xml:space="preserve">es una base sólida sobre las piezas más críticas y las que ya fallaron antes (cuotas), no una cobertura total del motor. Quedan sin probar </w:t>
      </w:r>
      <w:r>
        <w:rPr>
          <w:rFonts w:ascii="Consolas" w:cs="Consolas" w:eastAsia="Consolas" w:hAnsi="Consolas"/>
        </w:rPr>
        <w:t xml:space="preserve">aporteMetaObjetivoEnMes</w:t>
      </w:r>
      <w:r>
        <w:t xml:space="preserve">, </w:t>
      </w:r>
      <w:r>
        <w:rPr>
          <w:rFonts w:ascii="Consolas" w:cs="Consolas" w:eastAsia="Consolas" w:hAnsi="Consolas"/>
        </w:rPr>
        <w:t xml:space="preserve">cuotaInfoForMonth</w:t>
      </w:r>
      <w:r>
        <w:t xml:space="preserve">, </w:t>
      </w:r>
      <w:r>
        <w:rPr>
          <w:rFonts w:ascii="Consolas" w:cs="Consolas" w:eastAsia="Consolas" w:hAnsi="Consolas"/>
        </w:rPr>
        <w:t xml:space="preserve">desgloseDisponible</w:t>
      </w:r>
      <w:r>
        <w:t xml:space="preserve">, </w:t>
      </w:r>
      <w:r>
        <w:rPr>
          <w:rFonts w:ascii="Consolas" w:cs="Consolas" w:eastAsia="Consolas" w:hAnsi="Consolas"/>
        </w:rPr>
        <w:t xml:space="preserve">cuotasPorCategoriaGastoDelMes</w:t>
      </w:r>
      <w:r>
        <w:t xml:space="preserve">, entre otras.</w:t>
      </w:r>
    </w:p>
    <w:p>
      <w:pPr>
        <w:pStyle w:val="Heading1"/>
        <w:spacing w:after="160" w:before="320"/>
      </w:pPr>
      <w:r>
        <w:t xml:space="preserve">11. Tanda G-2 — Animaciones (onboarding, gráficos, presión de botones)</w:t>
      </w:r>
    </w:p>
    <w:p>
      <w:pPr>
        <w:spacing w:after="160"/>
      </w:pPr>
      <w:r>
        <w:t xml:space="preserve">Alcance acotado deliberadamente: se separó lo animable/verificable (esta tanda) de un pedido más amplio y subjetivo de "que se vea más profesional", que se dejó para una etapa de diseño aparte (sección 12).</w:t>
      </w:r>
    </w:p>
    <w:p>
      <w:pPr>
        <w:spacing w:after="160"/>
      </w:pPr>
      <w:r>
        <w:rPr>
          <w:b/>
          <w:bCs/>
        </w:rPr>
        <w:t xml:space="preserve">Transición entre pasos del onboarding — </w:t>
      </w:r>
      <w:r>
        <w:t xml:space="preserve">antes era un reemplazo instantáneo de </w:t>
      </w:r>
      <w:r>
        <w:rPr>
          <w:rFonts w:ascii="Consolas" w:cs="Consolas" w:eastAsia="Consolas" w:hAnsi="Consolas"/>
        </w:rPr>
        <w:t xml:space="preserve">innerHTML</w:t>
      </w:r>
      <w:r>
        <w:t xml:space="preserve">; ahora distingue avance de retroceso (</w:t>
      </w:r>
      <w:r>
        <w:rPr>
          <w:rFonts w:ascii="Consolas" w:cs="Consolas" w:eastAsia="Consolas" w:hAnsi="Consolas"/>
        </w:rPr>
        <w:t xml:space="preserve">onboardingRender(dir)</w:t>
      </w:r>
      <w:r>
        <w:t xml:space="preserve">) con fade + slide propios, sin interferir con las clases de transición de pantalla completa ya existentes.</w:t>
      </w:r>
    </w:p>
    <w:p>
      <w:pPr>
        <w:spacing w:after="160"/>
      </w:pPr>
      <w:r>
        <w:rPr>
          <w:b/>
          <w:bCs/>
        </w:rPr>
        <w:t xml:space="preserve">Barra de progreso visual — </w:t>
      </w:r>
      <w:r>
        <w:t xml:space="preserve">nueva, bajo el texto "Paso X de 6", reutilizando el patrón </w:t>
      </w:r>
      <w:r>
        <w:rPr>
          <w:rFonts w:ascii="Consolas" w:cs="Consolas" w:eastAsia="Consolas" w:hAnsi="Consolas"/>
        </w:rPr>
        <w:t xml:space="preserve">.progress-fill</w:t>
      </w:r>
      <w:r>
        <w:t xml:space="preserve"> ya existente en Metas/Cuotas.</w:t>
      </w:r>
    </w:p>
    <w:p>
      <w:pPr>
        <w:spacing w:after="160"/>
      </w:pPr>
      <w:r>
        <w:rPr>
          <w:b/>
          <w:bCs/>
        </w:rPr>
        <w:t xml:space="preserve">Entrada animada en gráficos — </w:t>
      </w:r>
      <w:r>
        <w:t xml:space="preserve">torta y barra pasaron de aparecer de golpe a una entrada con delay escalonado por slice/barra, corriendo en cada re-render (cambio de mes/filtro), no solo la primera vez.</w:t>
      </w:r>
    </w:p>
    <w:p>
      <w:pPr>
        <w:spacing w:after="160"/>
      </w:pPr>
      <w:r>
        <w:rPr>
          <w:b/>
          <w:bCs/>
        </w:rPr>
        <w:t xml:space="preserve">Presión de botones más notoria — </w:t>
      </w:r>
      <w:r>
        <w:t xml:space="preserve">se identificaron 29 reglas </w:t>
      </w:r>
      <w:r>
        <w:rPr>
          <w:rFonts w:ascii="Consolas" w:cs="Consolas" w:eastAsia="Consolas" w:hAnsi="Consolas"/>
        </w:rPr>
        <w:t xml:space="preserve">:active{transform:scale()}</w:t>
      </w:r>
      <w:r>
        <w:t xml:space="preserve"> (no 18 como se estimaba al planificar) — segmentadas por tamaño de elemento (íconos chicos, controles medianos, tarjetas grandes) en vez de aplicar un delta uniforme.</w:t>
      </w:r>
    </w:p>
    <w:p>
      <w:pPr>
        <w:spacing w:after="160"/>
      </w:pPr>
      <w:r>
        <w:t xml:space="preserve">Verificación notable: se corrieron los 39 asserts de </w:t>
      </w:r>
      <w:r>
        <w:rPr>
          <w:rFonts w:ascii="Consolas" w:cs="Consolas" w:eastAsia="Consolas" w:hAnsi="Consolas"/>
        </w:rPr>
        <w:t xml:space="preserve">tests.html</w:t>
      </w:r>
      <w:r>
        <w:t xml:space="preserve"> antes de cerrar, confirmando con evidencia (no solo suposición) que un cambio puramente visual no afectaba el motor financiero — primer uso real de T4 como red de seguridad para una tanda distinta a la que la creó. Commit </w:t>
      </w:r>
      <w:r>
        <w:rPr>
          <w:rFonts w:ascii="Consolas" w:cs="Consolas" w:eastAsia="Consolas" w:hAnsi="Consolas"/>
        </w:rPr>
        <w:t xml:space="preserve">48867f1</w:t>
      </w:r>
      <w:r>
        <w:t xml:space="preserve">.</w:t>
      </w:r>
    </w:p>
    <w:p>
      <w:pPr>
        <w:pStyle w:val="Heading1"/>
        <w:spacing w:after="160" w:before="320"/>
      </w:pPr>
      <w:r>
        <w:t xml:space="preserve">12. Rediseño de íconos y tarjetas (Opción B) + color estable por categoría</w:t>
      </w:r>
    </w:p>
    <w:p>
      <w:pPr>
        <w:spacing w:after="160"/>
      </w:pPr>
      <w:r>
        <w:t xml:space="preserve">Antes de escribir el prompt, se generaron 3 propuestas visuales concretas (mockup HTML) para elegir dirección de diseño en vez de delegar un pedido subjetivo ("más profesional") directamente a Claude Code. Se eligió la Opción B — "Editorial con acento": barra de color al borde de cada tarjeta de Historial + ícono en anillo, en vez de fondo sólido.</w:t>
      </w:r>
    </w:p>
    <w:p>
      <w:pPr>
        <w:spacing w:after="160"/>
      </w:pPr>
      <w:r>
        <w:rPr>
          <w:b/>
          <w:bCs/>
        </w:rPr>
        <w:t xml:space="preserve">Prerrequisito encontrado y corregido — </w:t>
      </w:r>
      <w:r>
        <w:t xml:space="preserve">el gráfico de torta no tenía color estable por categoría — coloreaba por posición en el ranking de gasto del mes, así que la misma categoría podía cambiar de color entre meses. Se creó </w:t>
      </w:r>
      <w:r>
        <w:rPr>
          <w:rFonts w:ascii="Consolas" w:cs="Consolas" w:eastAsia="Consolas" w:hAnsi="Consolas"/>
        </w:rPr>
        <w:t xml:space="preserve">colorDeCategoria(nombre)</w:t>
      </w:r>
      <w:r>
        <w:t xml:space="preserve">, calcada del patrón ya existente y estable de </w:t>
      </w:r>
      <w:r>
        <w:rPr>
          <w:rFonts w:ascii="Consolas" w:cs="Consolas" w:eastAsia="Consolas" w:hAnsi="Consolas"/>
        </w:rPr>
        <w:t xml:space="preserve">colorDeFuente(nombre)</w:t>
      </w:r>
      <w:r>
        <w:t xml:space="preserve"> (posición en </w:t>
      </w:r>
      <w:r>
        <w:rPr>
          <w:rFonts w:ascii="Consolas" w:cs="Consolas" w:eastAsia="Consolas" w:hAnsi="Consolas"/>
        </w:rPr>
        <w:t xml:space="preserve">state.config.categorias</w:t>
      </w:r>
      <w:r>
        <w:t xml:space="preserve"> + fallback por hash). Esto de paso corrigió el gráfico de torta/barra existente, no solo habilitó el diseño nuevo.</w:t>
      </w:r>
    </w:p>
    <w:p>
      <w:pPr>
        <w:spacing w:after="160"/>
      </w:pPr>
      <w:r>
        <w:rPr>
          <w:b/>
          <w:bCs/>
        </w:rPr>
        <w:t xml:space="preserve">Aplicación — </w:t>
      </w:r>
      <w:r>
        <w:t xml:space="preserve">8 puntos </w:t>
      </w:r>
      <w:r>
        <w:rPr>
          <w:rFonts w:ascii="Consolas" w:cs="Consolas" w:eastAsia="Consolas" w:hAnsi="Consolas"/>
        </w:rPr>
        <w:t xml:space="preserve">.list-item</w:t>
      </w:r>
      <w:r>
        <w:t xml:space="preserve">/</w:t>
      </w:r>
      <w:r>
        <w:rPr>
          <w:rFonts w:ascii="Consolas" w:cs="Consolas" w:eastAsia="Consolas" w:hAnsi="Consolas"/>
        </w:rPr>
        <w:t xml:space="preserve">.li-icon</w:t>
      </w:r>
      <w:r>
        <w:t xml:space="preserve"> en Historial (las 3 pestañas) y el sheet de "Detalle de categoría" desde Resumen, todos alimentados por una sola variable CSS por fila (</w:t>
      </w:r>
      <w:r>
        <w:rPr>
          <w:rFonts w:ascii="Consolas" w:cs="Consolas" w:eastAsia="Consolas" w:hAnsi="Consolas"/>
        </w:rPr>
        <w:t xml:space="preserve">--li-accent</w:t>
      </w:r>
      <w:r>
        <w:t xml:space="preserve">) para no duplicar la lógica de color. Verificado con evidencia de estabilidad real: la misma categoría se comparó entre septiembre y agosto (órdenes de ranking distintos) confirmando el mismo color en ambos casos.</w:t>
      </w:r>
    </w:p>
    <w:p>
      <w:pPr>
        <w:spacing w:after="160"/>
      </w:pPr>
      <w:r>
        <w:t xml:space="preserve">Deliberadamente fuera de alcance: </w:t>
      </w:r>
      <w:r>
        <w:rPr>
          <w:rFonts w:ascii="Consolas" w:cs="Consolas" w:eastAsia="Consolas" w:hAnsi="Consolas"/>
        </w:rPr>
        <w:t xml:space="preserve">.cat-row</w:t>
      </w:r>
      <w:r>
        <w:t xml:space="preserve"> (usa un patrón de punto de color distinto) y </w:t>
      </w:r>
      <w:r>
        <w:rPr>
          <w:rFonts w:ascii="Consolas" w:cs="Consolas" w:eastAsia="Consolas" w:hAnsi="Consolas"/>
        </w:rPr>
        <w:t xml:space="preserve">.debt-card</w:t>
      </w:r>
      <w:r>
        <w:t xml:space="preserve">/</w:t>
      </w:r>
      <w:r>
        <w:rPr>
          <w:rFonts w:ascii="Consolas" w:cs="Consolas" w:eastAsia="Consolas" w:hAnsi="Consolas"/>
        </w:rPr>
        <w:t xml:space="preserve">.goal-card</w:t>
      </w:r>
      <w:r>
        <w:t xml:space="preserve"> (sin ícono de categoría hoy). Commit pusheado; confirmación final en producción quedó pendiente al cierre de la sesión (ver Anexo, punto D).</w:t>
      </w:r>
    </w:p>
    <w:p>
      <w:pPr>
        <w:pStyle w:val="Heading1"/>
        <w:spacing w:after="160" w:before="320"/>
      </w:pPr>
      <w:r>
        <w:t xml:space="preserve">13. Guía de referencia para prompts de tanda</w:t>
      </w:r>
    </w:p>
    <w:p>
      <w:pPr>
        <w:spacing w:after="160"/>
      </w:pPr>
      <w:r>
        <w:t xml:space="preserve">Se creó una guía propia (</w:t>
      </w:r>
      <w:r>
        <w:rPr>
          <w:rFonts w:ascii="Consolas" w:cs="Consolas" w:eastAsia="Consolas" w:hAnsi="Consolas"/>
        </w:rPr>
        <w:t xml:space="preserve">guia_prompts_claude_code_telora.md</w:t>
      </w:r>
      <w:r>
        <w:t xml:space="preserve">) para estructurar cada prompt de forma consistente (archivo de trabajo, contexto de arranque en frío, riesgos a verificar, verificación con evidencia), actualizada en vivo durante el día con dos aprendizajes concretos:</w:t>
      </w:r>
    </w:p>
    <w:p>
      <w:pPr>
        <w:pStyle w:val="ListParagraph"/>
        <w:numPr>
          <w:ilvl w:val="0"/>
          <w:numId w:val="2"/>
        </w:numPr>
        <w:spacing w:after="100"/>
      </w:pPr>
      <w:r>
        <w:t xml:space="preserve">Al agregar re-entrada a un flujo pensado para "una sola pasada" (ej. un botón "Volver"), confirmar explícitamente qué fuente de datos usa cada pantalla para pre-llenar campos — no asumir que el pre-llenado existente cubre el nuevo camino de entrada.</w:t>
      </w:r>
    </w:p>
    <w:p>
      <w:pPr>
        <w:pStyle w:val="ListParagraph"/>
        <w:numPr>
          <w:ilvl w:val="0"/>
          <w:numId w:val="2"/>
        </w:numPr>
        <w:spacing w:after="100"/>
      </w:pPr>
      <w:r>
        <w:t xml:space="preserve">Variables </w:t>
      </w:r>
      <w:r>
        <w:rPr>
          <w:rFonts w:ascii="Consolas" w:cs="Consolas" w:eastAsia="Consolas" w:hAnsi="Consolas"/>
        </w:rPr>
        <w:t xml:space="preserve">let</w:t>
      </w:r>
      <w:r>
        <w:t xml:space="preserve">/</w:t>
      </w:r>
      <w:r>
        <w:rPr>
          <w:rFonts w:ascii="Consolas" w:cs="Consolas" w:eastAsia="Consolas" w:hAnsi="Consolas"/>
        </w:rPr>
        <w:t xml:space="preserve">const</w:t>
      </w:r>
      <w:r>
        <w:t xml:space="preserve"> de nivel superior en un script clásico no se exponen en </w:t>
      </w:r>
      <w:r>
        <w:rPr>
          <w:rFonts w:ascii="Consolas" w:cs="Consolas" w:eastAsia="Consolas" w:hAnsi="Consolas"/>
        </w:rPr>
        <w:t xml:space="preserve">window</w:t>
      </w:r>
      <w:r>
        <w:t xml:space="preserve"> — mutarlas desde afuera requiere </w:t>
      </w:r>
      <w:r>
        <w:rPr>
          <w:rFonts w:ascii="Consolas" w:cs="Consolas" w:eastAsia="Consolas" w:hAnsi="Consolas"/>
        </w:rPr>
        <w:t xml:space="preserve">eval</w:t>
      </w:r>
      <w:r>
        <w:t xml:space="preserve"> indirecto dentro del mismo entorno léxico, no una asignación directa sobre el objeto </w:t>
      </w:r>
      <w:r>
        <w:rPr>
          <w:rFonts w:ascii="Consolas" w:cs="Consolas" w:eastAsia="Consolas" w:hAnsi="Consolas"/>
        </w:rPr>
        <w:t xml:space="preserve">window</w:t>
      </w:r>
      <w:r>
        <w:t xml:space="preserve"> externo.</w:t>
      </w:r>
    </w:p>
    <w:p>
      <w:pPr>
        <w:pStyle w:val="Heading1"/>
        <w:spacing w:after="160" w:before="320"/>
      </w:pPr>
      <w:r>
        <w:t xml:space="preserve">14. Nota de método del día</w:t>
      </w:r>
    </w:p>
    <w:p>
      <w:pPr>
        <w:spacing w:after="160"/>
      </w:pPr>
      <w:r>
        <w:t xml:space="preserve">Dos hábitos se consolidaron hoy como parte del proceso, no como excepciones puntuales: (1) verificar con evidencia programática, no visual, cualquier cambio que toque datos o estado (T6, corrección del Paso 4, T4); y (2) cuando un pedido del usuario es amplio o subjetivo ("anímalo todo", "que se vea más profesional"), dividirlo en una parte acotada y verificable que se ejecuta ahora, y una parte de decisión de diseño que se resuelve mostrando opciones concretas antes de escribir cualquier prompt — evitando tanto la parálisis de no avanzar como el riesgo de construir algo que no calce con lo que el usuario tenía en mente.</w:t>
      </w:r>
    </w:p>
    <w:p>
      <w:pPr>
        <w:pStyle w:val="Heading1"/>
        <w:spacing w:after="160" w:before="320"/>
      </w:pPr>
      <w:r>
        <w:t xml:space="preserve">Anexo — Para continuar el Día 13</w:t>
      </w:r>
    </w:p>
    <w:p>
      <w:pPr>
        <w:pStyle w:val="Heading2"/>
        <w:spacing w:after="120" w:before="240"/>
      </w:pPr>
      <w:r>
        <w:t xml:space="preserve">A. Resuelto — deploy del rediseño de íconos/tarjetas</w:t>
      </w:r>
    </w:p>
    <w:p>
      <w:pPr>
        <w:pStyle w:val="ListParagraph"/>
        <w:numPr>
          <w:ilvl w:val="0"/>
          <w:numId w:val="2"/>
        </w:numPr>
        <w:spacing w:after="100"/>
      </w:pPr>
      <w:r>
        <w:t xml:space="preserve">La sesión del Día 12 se cerró mientras Claude Code sondeaba en segundo plano el resultado del deploy del rediseño de íconos/tarjetas (sección 12), sin confirmación final registrada en el resumen. Confirmado por el usuario al inicio del Día 13: el deploy terminó bien en producción (telora.cl). No requiere seguimiento.</w:t>
      </w:r>
    </w:p>
    <w:p>
      <w:pPr>
        <w:pStyle w:val="Heading2"/>
        <w:spacing w:after="120" w:before="240"/>
      </w:pPr>
      <w:r>
        <w:t xml:space="preserve">B. Backlog de bloqueadores técnicos (Etapa 1.5, antes de validar con desconocidos)</w:t>
      </w:r>
    </w:p>
    <w:p>
      <w:pPr>
        <w:pStyle w:val="ListParagraph"/>
        <w:numPr>
          <w:ilvl w:val="0"/>
          <w:numId w:val="2"/>
        </w:numPr>
        <w:spacing w:after="100"/>
      </w:pPr>
      <w:r>
        <w:rPr>
          <w:b/>
          <w:bCs/>
        </w:rPr>
        <w:t xml:space="preserve">Importación de cartola bancaria — </w:t>
      </w:r>
      <w:r>
        <w:t xml:space="preserve">sin iniciar. Sigue siendo la mejora de mayor retorno documentada (elimina 70-80% del tipeo manual). Candidata a próxima iniciativa grande de código, ahora con una red de pruebas real (T4) para apoyarse al construirla.</w:t>
      </w:r>
    </w:p>
    <w:p>
      <w:pPr>
        <w:pStyle w:val="ListParagraph"/>
        <w:numPr>
          <w:ilvl w:val="0"/>
          <w:numId w:val="2"/>
        </w:numPr>
        <w:spacing w:after="100"/>
      </w:pPr>
      <w:r>
        <w:rPr>
          <w:b/>
          <w:bCs/>
        </w:rPr>
        <w:t xml:space="preserve">Telemetría básica — </w:t>
      </w:r>
      <w:r>
        <w:t xml:space="preserve">sin iniciar. Sigue en pausa mientras no haya reclutamiento activo de testers nuevos (ver punto D del Backlog de negocio, Día 11).</w:t>
      </w:r>
    </w:p>
    <w:p>
      <w:pPr>
        <w:pStyle w:val="ListParagraph"/>
        <w:numPr>
          <w:ilvl w:val="0"/>
          <w:numId w:val="2"/>
        </w:numPr>
        <w:spacing w:after="100"/>
      </w:pPr>
      <w:r>
        <w:rPr>
          <w:b/>
          <w:bCs/>
        </w:rPr>
        <w:t xml:space="preserve">Android — </w:t>
      </w:r>
      <w:r>
        <w:t xml:space="preserve">nunca se ha probado en un dispositivo real. Arrastrado desde el Día 7, no abordado hoy.</w:t>
      </w:r>
    </w:p>
    <w:p>
      <w:pPr>
        <w:pStyle w:val="ListParagraph"/>
        <w:numPr>
          <w:ilvl w:val="0"/>
          <w:numId w:val="2"/>
        </w:numPr>
        <w:spacing w:after="100"/>
      </w:pPr>
      <w:r>
        <w:rPr>
          <w:b/>
          <w:bCs/>
        </w:rPr>
        <w:t xml:space="preserve">Ampliar cobertura de T4 — </w:t>
      </w:r>
      <w:r>
        <w:t xml:space="preserve">funciones del motor financiero aún sin pruebas: </w:t>
      </w:r>
      <w:r>
        <w:rPr>
          <w:rFonts w:ascii="Consolas" w:cs="Consolas" w:eastAsia="Consolas" w:hAnsi="Consolas"/>
        </w:rPr>
        <w:t xml:space="preserve">aporteMetaObjetivoEnMes</w:t>
      </w:r>
      <w:r>
        <w:t xml:space="preserve">, </w:t>
      </w:r>
      <w:r>
        <w:rPr>
          <w:rFonts w:ascii="Consolas" w:cs="Consolas" w:eastAsia="Consolas" w:hAnsi="Consolas"/>
        </w:rPr>
        <w:t xml:space="preserve">cuotaInfoForMonth</w:t>
      </w:r>
      <w:r>
        <w:t xml:space="preserve">, </w:t>
      </w:r>
      <w:r>
        <w:rPr>
          <w:rFonts w:ascii="Consolas" w:cs="Consolas" w:eastAsia="Consolas" w:hAnsi="Consolas"/>
        </w:rPr>
        <w:t xml:space="preserve">desgloseDisponible</w:t>
      </w:r>
      <w:r>
        <w:t xml:space="preserve">, </w:t>
      </w:r>
      <w:r>
        <w:rPr>
          <w:rFonts w:ascii="Consolas" w:cs="Consolas" w:eastAsia="Consolas" w:hAnsi="Consolas"/>
        </w:rPr>
        <w:t xml:space="preserve">cuotasPorCategoriaGastoDelMes</w:t>
      </w:r>
      <w:r>
        <w:t xml:space="preserve">, entre otras. No urgente, pero cada función nueva que se agregue al motor de ahora en más debería considerar sumar su caso aquí mismo.</w:t>
      </w:r>
    </w:p>
    <w:p>
      <w:pPr>
        <w:pStyle w:val="Heading2"/>
        <w:spacing w:after="120" w:before="240"/>
      </w:pPr>
      <w:r>
        <w:t xml:space="preserve">C. Backlog de negocio (sin cambios respecto al Día 11 — sigue pausado por decisión ya tomada)</w:t>
      </w:r>
    </w:p>
    <w:p>
      <w:pPr>
        <w:pStyle w:val="ListParagraph"/>
        <w:numPr>
          <w:ilvl w:val="0"/>
          <w:numId w:val="2"/>
        </w:numPr>
        <w:spacing w:after="100"/>
      </w:pPr>
      <w:r>
        <w:rPr>
          <w:b/>
          <w:bCs/>
        </w:rPr>
        <w:t xml:space="preserve">Link de pago (Flow/Webpay) — </w:t>
      </w:r>
      <w:r>
        <w:t xml:space="preserve">pospuesto hasta la Etapa 3 (backend), que todavía no existe.</w:t>
      </w:r>
    </w:p>
    <w:p>
      <w:pPr>
        <w:pStyle w:val="ListParagraph"/>
        <w:numPr>
          <w:ilvl w:val="0"/>
          <w:numId w:val="2"/>
        </w:numPr>
        <w:spacing w:after="100"/>
      </w:pPr>
      <w:r>
        <w:rPr>
          <w:b/>
          <w:bCs/>
        </w:rPr>
        <w:t xml:space="preserve">Blindaje regulatorio (Ley Fintech) — </w:t>
      </w:r>
      <w:r>
        <w:t xml:space="preserve">a diseñar junto con el Asesor Financiero IA, que todavía no existe.</w:t>
      </w:r>
    </w:p>
    <w:p>
      <w:pPr>
        <w:pStyle w:val="ListParagraph"/>
        <w:numPr>
          <w:ilvl w:val="0"/>
          <w:numId w:val="2"/>
        </w:numPr>
        <w:spacing w:after="100"/>
      </w:pPr>
      <w:r>
        <w:rPr>
          <w:b/>
          <w:bCs/>
        </w:rPr>
        <w:t xml:space="preserve">Encuesta de perfil psicológico — </w:t>
      </w:r>
      <w:r>
        <w:t xml:space="preserve">Premium, ligada al Asesor IA. Mismo criterio.</w:t>
      </w:r>
    </w:p>
    <w:p>
      <w:pPr>
        <w:pStyle w:val="ListParagraph"/>
        <w:numPr>
          <w:ilvl w:val="0"/>
          <w:numId w:val="2"/>
        </w:numPr>
        <w:spacing w:after="100"/>
      </w:pPr>
      <w:r>
        <w:rPr>
          <w:b/>
          <w:bCs/>
        </w:rPr>
        <w:t xml:space="preserve">Reclutamiento de más testers externos — </w:t>
      </w:r>
      <w:r>
        <w:t xml:space="preserve">decisión ya tomada: esperar a tener el producto terminado.</w:t>
      </w:r>
    </w:p>
    <w:p>
      <w:pPr>
        <w:pStyle w:val="Heading2"/>
        <w:spacing w:after="120" w:before="240"/>
      </w:pPr>
      <w:r>
        <w:t xml:space="preserve">D. Pulido visual pendiente (fuera del alcance de la Opción B de hoy)</w:t>
      </w:r>
    </w:p>
    <w:p>
      <w:pPr>
        <w:pStyle w:val="ListParagraph"/>
        <w:numPr>
          <w:ilvl w:val="0"/>
          <w:numId w:val="2"/>
        </w:numPr>
        <w:spacing w:after="100"/>
      </w:pPr>
      <w:r>
        <w:t xml:space="preserve">El pedido original ("que se vea más profesional, estética y de alta calidad") se acotó deliberadamente hoy a íconos/tarjetas de Historial (Opción B). Quedan sin revisar, si se quiere continuar esa línea: las tarjetas de Cuotas/Metas (</w:t>
      </w:r>
      <w:r>
        <w:rPr>
          <w:rFonts w:ascii="Consolas" w:cs="Consolas" w:eastAsia="Consolas" w:hAnsi="Consolas"/>
        </w:rPr>
        <w:t xml:space="preserve">.debt-card</w:t>
      </w:r>
      <w:r>
        <w:t xml:space="preserve">/</w:t>
      </w:r>
      <w:r>
        <w:rPr>
          <w:rFonts w:ascii="Consolas" w:cs="Consolas" w:eastAsia="Consolas" w:hAnsi="Consolas"/>
        </w:rPr>
        <w:t xml:space="preserve">.goal-card</w:t>
      </w:r>
      <w:r>
        <w:t xml:space="preserve">, que no tienen ícono de categoría hoy) y las filas de "Gasto por categoría" en Resumen (</w:t>
      </w:r>
      <w:r>
        <w:rPr>
          <w:rFonts w:ascii="Consolas" w:cs="Consolas" w:eastAsia="Consolas" w:hAnsi="Consolas"/>
        </w:rPr>
        <w:t xml:space="preserve">.cat-row</w:t>
      </w:r>
      <w:r>
        <w:t xml:space="preserve">, que usa un punto de color en vez de ícono — podría beneficiarse del mismo </w:t>
      </w:r>
      <w:r>
        <w:rPr>
          <w:rFonts w:ascii="Consolas" w:cs="Consolas" w:eastAsia="Consolas" w:hAnsi="Consolas"/>
        </w:rPr>
        <w:t xml:space="preserve">colorDeCategoria()</w:t>
      </w:r>
      <w:r>
        <w:t xml:space="preserve"> ya creado hoy, sin necesidad de rediseñarla).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2026-09-14T15:03:52.437Z</dcterms:created>
  <dcterms:modified xsi:type="dcterms:W3CDTF">2026-09-14T15:03:52.445Z</dcterms:modified>
</cp:coreProperties>
</file>

<file path=docProps/custom.xml><?xml version="1.0" encoding="utf-8"?>
<Properties xmlns="http://schemas.openxmlformats.org/officeDocument/2006/custom-properties" xmlns:vt="http://schemas.openxmlformats.org/officeDocument/2006/docPropsVTypes"/>
</file>