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MisFinanzas (Telora)</w:t>
      </w:r>
    </w:p>
    <w:p>
      <w:pPr>
        <w:spacing w:after="400"/>
      </w:pPr>
      <w:r>
        <w:rPr>
          <w:i/>
          <w:iCs/>
          <w:sz w:val="26"/>
          <w:szCs w:val="26"/>
        </w:rPr>
        <w:t xml:space="preserve">Resumen del día — 15 de septiembre de 2026 (Día 13)</w:t>
      </w:r>
    </w:p>
    <w:p>
      <w:pPr>
        <w:pStyle w:val="Heading1"/>
        <w:spacing w:after="140" w:before="340"/>
      </w:pPr>
      <w:r>
        <w:t xml:space="preserve">1. Auditoría profunda: qué falta para terminar el producto</w:t>
      </w:r>
    </w:p>
    <w:p>
      <w:pPr>
        <w:spacing w:after="160"/>
      </w:pPr>
      <w:r>
        <w:rPr>
          <w:b/>
          <w:bCs/>
        </w:rPr>
        <w:t xml:space="preserve">Hallazgo central — </w:t>
      </w:r>
      <w:r>
        <w:t xml:space="preserve">en los documentos del proyecto conviven dos definiciones de "terminado": la Especificación Final v1.1 (asesor IA completo, OCR, backend, apps nativas — meses de trabajo) y el Bloque 1/Etapa 1.5 del Estudio Exhaustivo ("listo para validar con testers externos"). Se cruzó cada pendiente del Bloque 1 contra el código real de index.html, no contra lo que decían los resúmenes anteriores.</w:t>
      </w:r>
    </w:p>
    <w:p>
      <w:pPr>
        <w:spacing w:after="160"/>
      </w:pPr>
      <w:r>
        <w:t xml:space="preserve">Resultado: 6 de 7 ítems del Bloque 1 ya estaban hechos (blindaje de datos, onboarding, Service Worker + XLSX autohospedada, suite de pruebas, escapado de HTML, nombre/dominio cerrados como Telora). Solo faltaba uno, real: probar la app en un Android físico — sigue pendiente al cierre de este día.</w:t>
      </w:r>
    </w:p>
    <w:p>
      <w:pPr>
        <w:spacing w:after="160"/>
      </w:pPr>
      <w:r>
        <w:t xml:space="preserve">Se documentó además un hallazgo estratégico: los tres motores de conversión a pago identificados en los propios documentos (OCR de boletas, importación de cartola, asesor IA) seguían, los tres, sin construir — y cartola se descartó hoy mismo (sección 3). Queda como alerta consciente, no como bloqueante.</w:t>
      </w:r>
    </w:p>
    <w:p>
      <w:pPr>
        <w:spacing w:after="160"/>
      </w:pPr>
      <w:r>
        <w:rPr>
          <w:i/>
          <w:iCs/>
          <w:color w:val="666666"/>
          <w:sz w:val="20"/>
          <w:szCs w:val="20"/>
        </w:rPr>
        <w:t xml:space="preserve">Entregable: Telora_Que_Falta_Para_Terminar_Dia13.docx</w:t>
      </w:r>
    </w:p>
    <w:p>
      <w:pPr>
        <w:pStyle w:val="Heading1"/>
        <w:spacing w:after="140" w:before="340"/>
      </w:pPr>
      <w:r>
        <w:t xml:space="preserve">2. T4 (parte 3) — cobertura ampliada del motor financiero</w:t>
      </w:r>
    </w:p>
    <w:p>
      <w:pPr>
        <w:spacing w:after="160"/>
      </w:pPr>
      <w:r>
        <w:rPr>
          <w:b/>
          <w:bCs/>
        </w:rPr>
        <w:t xml:space="preserve">Cuatro funciones sin cobertura — </w:t>
      </w:r>
      <w:r>
        <w:t xml:space="preserve">aporteMetaObjetivoEnMes, cuotaInfoForMonth, desgloseDisponible y cuotasPorCategoriaGastoDelMes recibieron 20 asserts nuevos (4 de existencia + 16 de comportamiento), verificados con cálculo manual independiente para al menos un caso de cada función. 59/59 en verde, sin regresión sobre los 39 previos. Commit 358527f.</w:t>
      </w:r>
    </w:p>
    <w:p>
      <w:pPr>
        <w:spacing w:after="160"/>
      </w:pPr>
      <w:r>
        <w:t xml:space="preserve">De 289 funciones de nivel superior en index.html, 21 quedan con cobertura directa; se identificó un subconjunto de ~35-40 funciones de motor genuinamente sin probar, como punto de partida de una futura tanda de cobertura.</w:t>
      </w:r>
    </w:p>
    <w:p>
      <w:pPr>
        <w:pStyle w:val="Heading1"/>
        <w:spacing w:after="140" w:before="340"/>
      </w:pPr>
      <w:r>
        <w:t xml:space="preserve">3. Pulido visual: color estable y Opción D en Cuotas/Metas</w:t>
      </w:r>
    </w:p>
    <w:p>
      <w:pPr>
        <w:spacing w:after="160"/>
      </w:pPr>
      <w:r>
        <w:rPr>
          <w:b/>
          <w:bCs/>
        </w:rPr>
        <w:t xml:space="preserve">.cat-row — </w:t>
      </w:r>
      <w:r>
        <w:t xml:space="preserve">reemplazó dona.colorDeCat[cat] (posicional por ranking, inestable entre meses) por colorDeCategoria(cat), la misma función ya usada en Historial y en la dona. Verificado con rankings invertidos entre agosto y septiembre: mismo color en ambos meses. Commit incluido dentro de fbf776b.</w:t>
      </w:r>
    </w:p>
    <w:p>
      <w:pPr>
        <w:spacing w:after="160"/>
      </w:pPr>
      <w:r>
        <w:rPr>
          <w:b/>
          <w:bCs/>
        </w:rPr>
        <w:t xml:space="preserve">Ícono + acento de color en debt-card/goal-card (Opción D) — </w:t>
      </w:r>
      <w:r>
        <w:t xml:space="preserve">se armaron y compararon 3 mockups antes de decidir; se eligió combinar la barra de acento de toda la tarjeta con el ícono circular tipo Historial. Para Metas (sin campo de categoría) se usó un ícono fijo (icon('target')) y el dorado que .progress-fill ya usaba — sin inventar una dimensión de personalización que el modelo de datos no sostiene. Se encontró y corrigió, dentro de la misma tanda, un choque real entre el box-shadow de .goal-card.paused y la nueva barra, unificado bajo el mismo mecanismo --li-accent. Commit 25eaf85.</w:t>
      </w:r>
    </w:p>
    <w:p>
      <w:pPr>
        <w:pStyle w:val="Heading1"/>
        <w:spacing w:after="140" w:before="340"/>
      </w:pPr>
      <w:r>
        <w:t xml:space="preserve">4. Nota de método: el commit mezclado de hoy</w:t>
      </w:r>
    </w:p>
    <w:p>
      <w:pPr>
        <w:spacing w:after="160"/>
      </w:pPr>
      <w:r>
        <w:t xml:space="preserve">La edición de .cat-row quedó momentáneamente sin commitear mientras el usuario commiteaba manualmente desde la terminal, y terminó absorbida dentro de fbf776b ("Ampliar test T4 y arreglos de animaciones Onboarding"), un mensaje que no la describe. Se investigó como posible concurrencia real (dos sesiones escribiendo el mismo archivo) antes de confirmar que era una carrera normal entre un commit manual y una edición de Claude Code sin cerrar — no hubo pérdida de datos ni conflicto real.</w:t>
      </w:r>
    </w:p>
    <w:p>
      <w:pPr>
        <w:spacing w:after="160"/>
      </w:pPr>
      <w:r>
        <w:rPr>
          <w:i/>
          <w:iCs/>
          <w:color w:val="666666"/>
          <w:sz w:val="20"/>
          <w:szCs w:val="20"/>
        </w:rPr>
        <w:t xml:space="preserve">Lección para dejar escrita: si se va a commitear manualmente desde la terminal mientras una sesión de Claude Code tiene una tanda en curso, conviene correr git status primero — el mismo hábito que ya se pedía al revés (verificar antes de asumir que el árbol está limpio).</w:t>
      </w:r>
    </w:p>
    <w:p>
      <w:pPr>
        <w:pStyle w:val="Heading1"/>
        <w:spacing w:after="140" w:before="340"/>
      </w:pPr>
      <w:r>
        <w:t xml:space="preserve">5. Cartola bancaria — descartada conscientemente</w:t>
      </w:r>
    </w:p>
    <w:p>
      <w:pPr>
        <w:spacing w:after="160"/>
      </w:pPr>
      <w:r>
        <w:t xml:space="preserve">Se abrió la especificación (formato de archivo, banco propio como piloto) y el usuario decidió descartarla por ahora: cubrir "la mayor cantidad posible de bancos chilenos" en PDF, sin librerías externas, es un parser manual por banco — alcance real mucho mayor al que parecía a primera vista.</w:t>
      </w:r>
    </w:p>
    <w:p>
      <w:pPr>
        <w:spacing w:after="160"/>
      </w:pPr>
      <w:r>
        <w:rPr>
          <w:i/>
          <w:iCs/>
          <w:color w:val="666666"/>
          <w:sz w:val="20"/>
          <w:szCs w:val="20"/>
        </w:rPr>
        <w:t xml:space="preserve">Matiz encontrado después, en la auditoría de la sección 1, que vale la pena dejar registrado: el Estudio Exhaustivo original (F-A1) no asumía PDF — asumía CSV/Excel descargado de la banca en línea, que la mayoría de los bancos chilenos también ofrece. Parsear CSV/Excel con SheetJS (ya autohospedado en el proyecto) es un problema bastante más chico que PDF banco por banco. No se reabrió la decisión — queda como dato para una futura reconsideración.</w:t>
      </w:r>
    </w:p>
    <w:p>
      <w:pPr>
        <w:pStyle w:val="Heading1"/>
        <w:spacing w:after="140" w:before="340"/>
      </w:pPr>
      <w:r>
        <w:t xml:space="preserve">6. Telemetría básica — sigue en pausa, por decisión reafirmada</w:t>
      </w:r>
    </w:p>
    <w:p>
      <w:pPr>
        <w:spacing w:after="160"/>
      </w:pPr>
      <w:r>
        <w:t xml:space="preserve">Se confirmó que la pausa no cambió: el usuario quiere terminar el producto antes de reclutar testers y activar telemetría, no al revés. Esa decisión fue la que disparó la auditoría profunda de la sección 1.</w:t>
      </w:r>
    </w:p>
    <w:p>
      <w:pPr>
        <w:pStyle w:val="Heading1"/>
        <w:spacing w:after="140" w:before="340"/>
      </w:pPr>
      <w:r>
        <w:t xml:space="preserve">7. T11 — state.schemaVersion</w:t>
      </w:r>
    </w:p>
    <w:p>
      <w:pPr>
        <w:spacing w:after="160"/>
      </w:pPr>
      <w:r>
        <w:t xml:space="preserve">CURRENT_SCHEMA_VERSION = 1, estampado en loadState() y migrateBackup() sin alterar el patrón de migraciones incondicionales ya existente. Al restaurar un respaldo de una versión futura (schemaVersion mayor a la actual), se muestra una advertencia no bloqueante dentro del propio sheet de confirmación — el usuario decide si sigue. Verificado con clic real en "Sí, restaurar" y comparación de marcadores en memoria y en localStorage. Commit f4fd76b.</w:t>
      </w:r>
    </w:p>
    <w:p>
      <w:pPr>
        <w:pStyle w:val="Heading1"/>
        <w:spacing w:after="140" w:before="340"/>
      </w:pPr>
      <w:r>
        <w:t xml:space="preserve">8. Notificación local de cuota próxima a vencer</w:t>
      </w:r>
    </w:p>
    <w:p>
      <w:pPr>
        <w:spacing w:after="160"/>
      </w:pPr>
      <w:r>
        <w:rPr>
          <w:b/>
          <w:bCs/>
        </w:rPr>
        <w:t xml:space="preserve">Corrección de alcance antes de construir — </w:t>
      </w:r>
      <w:r>
        <w:t xml:space="preserve">la versión ambiciosa (avisar con la app cerrada, días después) no es alcanzable sin backend (Push API real) ni con Periodic Background Sync (sin soporte serio en iOS). Se acotó a: revisar cuotas próximas a vencer cada vez que la app se abre o vuelve a primer plano.</w:t>
      </w:r>
    </w:p>
    <w:p>
      <w:pPr>
        <w:spacing w:after="160"/>
      </w:pPr>
      <w:r>
        <w:t xml:space="preserve">Se agregó state.config.notifCuotasConcedido (tri-estado), el día de vencimiento se calculó reusando el mismo criterio de recorte que cuotaVencidaPorFecha (no addMonths, para no heredar su desborde — ver sección 9), y se agregó un listener notificationclick en sw.js. Verificado de punta a punta fuera del sandbox: el usuario mismo concedió el permiso en su navegador real, la notificación apareció con el texto correcto ("Cuota de PRUEBA notificación (borrar) vence en 2 días") y el clic enfocó la pestaña. Commit 4a0f2e3.</w:t>
      </w:r>
    </w:p>
    <w:p>
      <w:pPr>
        <w:pStyle w:val="Heading1"/>
        <w:spacing w:after="140" w:before="340"/>
      </w:pPr>
      <w:r>
        <w:t xml:space="preserve">9. Bug real encontrado y corregido: desborde de addMonths()</w:t>
      </w:r>
    </w:p>
    <w:p>
      <w:pPr>
        <w:spacing w:after="160"/>
      </w:pPr>
      <w:r>
        <w:rPr>
          <w:b/>
          <w:bCs/>
        </w:rPr>
        <w:t xml:space="preserve">Hallazgo — </w:t>
      </w:r>
      <w:r>
        <w:t xml:space="preserve">al construir la notificación se encontró que addMonths() dejaba que Date.setMonth() desbordara al mes siguiente cuando el día de origen (29, 30 o 31) no existía en el mes destino. Se usa en 6 puntos del motor de cuotas, todos leyendo solo año/mes del resultado — el desborde no era un error de redondeo, cambiaba el mes calculado por completo para cualquier compra en esos días.</w:t>
      </w:r>
    </w:p>
    <w:p>
      <w:pPr>
        <w:spacing w:after="160"/>
      </w:pPr>
      <w:r>
        <w:t xml:space="preserve">Se corrigió con el mismo criterio de recorte ya usado en la notificación. Evidencia antes/después: 2026-08-31 +1 mes daba 2026-10-01 (bug, saltaba septiembre entero), ahora da 2026-09-30. Se agregó el caso a tests.html documentando el bug ANTES del fix (falló como se esperaba) y confirmando el arreglo después: 60/60 asserts. Verificación manual completa del ciclo en la UI real (Cuotas + Resumen) para una deuda comprada el 31 de agosto: agosto sin cuota, septiembre/octubre/noviembre activas, diciembre cerrado — exactamente correcto.</w:t>
      </w:r>
    </w:p>
    <w:p>
      <w:pPr>
        <w:pStyle w:val="Heading1"/>
        <w:spacing w:after="140" w:before="340"/>
      </w:pPr>
      <w:r>
        <w:t xml:space="preserve">10. F-C5 — Racha de registro diario</w:t>
      </w:r>
    </w:p>
    <w:p>
      <w:pPr>
        <w:spacing w:after="160"/>
      </w:pPr>
      <w:r>
        <w:t xml:space="preserve">Racha nueva, independiente de rachaMeta (que es mensual y mide cumplimiento de aporte automático, no registro diario). Criterio decidido: un hueco de hasta 4 días sin registrar no corta la racha (y SÍ suma a su longitud); 5 días consecutivos sin registro la corta. Sin campos nuevos en state — se recalcula siempre desde expenses/incomes. Medido: 0,62 ms promedio sobre 1.100 días de historial simulada, sin retraso perceptible. Commit 266c083.</w:t>
      </w:r>
    </w:p>
    <w:p>
      <w:pPr>
        <w:pStyle w:val="Heading1"/>
        <w:spacing w:after="140" w:before="340"/>
      </w:pPr>
      <w:r>
        <w:t xml:space="preserve">11. P3 extendido — categoría bajo control y meta completada</w:t>
      </w:r>
    </w:p>
    <w:p>
      <w:pPr>
        <w:spacing w:after="160"/>
      </w:pPr>
      <w:r>
        <w:rPr>
          <w:b/>
          <w:bCs/>
        </w:rPr>
        <w:t xml:space="preserve">Categoría bajo control — </w:t>
      </w:r>
      <w:r>
        <w:t xml:space="preserve">reusa el mismo umbral de 25% que ya usa la detección de sobregasto, invertido; muestra máximo 2 categorías, la mejora más grande primero.</w:t>
      </w:r>
    </w:p>
    <w:p>
      <w:pPr>
        <w:spacing w:after="160"/>
      </w:pPr>
      <w:r>
        <w:rPr>
          <w:b/>
          <w:bCs/>
        </w:rPr>
        <w:t xml:space="preserve">Meta completada — rediseño en dos vueltas. </w:t>
      </w:r>
      <w:r>
        <w:t xml:space="preserve">La primera versión estampaba fechaCumplida solo en btnAportarConfirmar. Se encontró que era incompleta: ahorrado (= aportes manuales + aporteAutomaticoAcumulado) puede cruzar 100% solo por el paso del calendario, sin ningún evento discreto — una meta financiada solo por aporte automático nunca pasaba por ese handler.</w:t>
      </w:r>
    </w:p>
    <w:p>
      <w:pPr>
        <w:spacing w:after="160"/>
      </w:pPr>
      <w:r>
        <w:t xml:space="preserve">Se decidió un diseño híbrido: función centralizada chequearMetaCompletada(g), invocada puntualmente tras un aporte manual o una edición de montoObjetivo (barato, una sola meta), más un barrido completo de todas las metas una sola vez por apertura de la app o cambio de mes (mismo patrón que avisoCierre) — deliberadamente nunca dentro de renderAll(), que el propio Estudio Exhaustivo (T7) ya marcó como sensible al rendimiento.</w:t>
      </w:r>
    </w:p>
    <w:p>
      <w:pPr>
        <w:spacing w:after="160"/>
      </w:pPr>
      <w:r>
        <w:t xml:space="preserve">En la verificación se encontraron y corrigieron dos problemas reales antes de commitear: (1) metaEstaCompleta usaba un tercer criterio de "completa", distinto del pct/done que ya usaba la tarjeta de meta — confirmado con un caso límite real ($99.600 de $100.000, donde el redondeo ya marcaba la tarjeta como cumplida); y (2) el barrido corría DESPUÉS del primer renderAll(), así que una meta completada solo por aporte automático quedaba estampada en memoria pero la card no aparecía hasta que el usuario navegara a otra pestaña — confirmado con evidencia real (innerHTML vacío en el primer render), no solo como riesgo teórico. Ambos corregidos y reverificados, incluido el caso de restaurar un respaldo sin recargar (el de mayor riesgo de falso positivo retroactivo). Commit 42970cb.</w:t>
      </w:r>
    </w:p>
    <w:p>
      <w:pPr>
        <w:pStyle w:val="Heading1"/>
        <w:spacing w:after="140" w:before="340"/>
      </w:pPr>
      <w:r>
        <w:t xml:space="preserve">12. Cierre de mes (F-B1) — conversación de diseño iniciada, continúa el Día 14</w:t>
      </w:r>
    </w:p>
    <w:p>
      <w:pPr>
        <w:spacing w:after="160"/>
      </w:pPr>
      <w:r>
        <w:t xml:space="preserve">Se identificó que ya existe infraestructura reusable (avisoCierre: banner que se dispara una vez por cambio de mes, hoy limitado a avisar de cuotas sin confirmar) pero ningún resumen real del mes que cierra.</w:t>
      </w:r>
    </w:p>
    <w:p>
      <w:pPr>
        <w:spacing w:after="100"/>
        <w:ind w:left="260"/>
      </w:pPr>
      <w:r>
        <w:rPr>
          <w:b/>
          <w:bCs/>
        </w:rPr>
        <w:t xml:space="preserve">— </w:t>
      </w:r>
      <w:r>
        <w:rPr>
          <w:b/>
          <w:bCs/>
        </w:rPr>
        <w:t xml:space="preserve">Decidido: </w:t>
      </w:r>
      <w:r>
        <w:t xml:space="preserve">aparece como pantalla completa que interrumpe (mismo peso visual que el onboarding), no como tarjeta ni banner.</w:t>
      </w:r>
    </w:p>
    <w:p>
      <w:pPr>
        <w:spacing w:after="100"/>
        <w:ind w:left="260"/>
      </w:pPr>
      <w:r>
        <w:rPr>
          <w:b/>
          <w:bCs/>
        </w:rPr>
        <w:t xml:space="preserve">— </w:t>
      </w:r>
      <w:r>
        <w:rPr>
          <w:b/>
          <w:bCs/>
        </w:rPr>
        <w:t xml:space="preserve">Decidido: </w:t>
      </w:r>
      <w:r>
        <w:t xml:space="preserve">debe mostrar lo positivo Y lo negativo del mes, no solo buenas noticias.</w:t>
      </w:r>
    </w:p>
    <w:p>
      <w:pPr>
        <w:spacing w:after="100"/>
        <w:ind w:left="260"/>
      </w:pPr>
      <w:r>
        <w:rPr>
          <w:b/>
          <w:bCs/>
        </w:rPr>
        <w:t xml:space="preserve">— </w:t>
      </w:r>
      <w:r>
        <w:rPr>
          <w:b/>
          <w:bCs/>
        </w:rPr>
        <w:t xml:space="preserve">Abierto para el Día 14: </w:t>
      </w:r>
      <w:r>
        <w:t xml:space="preserve">si el aviso de cuotas sin confirmar (avisoCierre) se absorbe dentro de esta pantalla nueva como su parte "negativa", o si quedan como dos mecanismos separados. Retomar la conversación desde este punto exacto, sin volver a las preguntas ya cerradas.</w:t>
      </w:r>
    </w:p>
    <w:p>
      <w:pPr>
        <w:pStyle w:val="Heading1"/>
        <w:spacing w:after="140" w:before="340"/>
      </w:pPr>
      <w:r>
        <w:t xml:space="preserve">Anexo — Para continuar el Día 14</w:t>
      </w:r>
    </w:p>
    <w:p>
      <w:pPr>
        <w:pStyle w:val="Heading2"/>
        <w:spacing w:after="100" w:before="260"/>
      </w:pPr>
      <w:r>
        <w:t xml:space="preserve">A. Bloqueadores reales para validar con testers</w:t>
      </w:r>
    </w:p>
    <w:p>
      <w:pPr>
        <w:spacing w:after="100"/>
        <w:ind w:left="260"/>
      </w:pPr>
      <w:r>
        <w:rPr>
          <w:b/>
          <w:bCs/>
        </w:rPr>
        <w:t xml:space="preserve">— </w:t>
      </w:r>
      <w:r>
        <w:rPr>
          <w:b/>
          <w:bCs/>
        </w:rPr>
        <w:t xml:space="preserve">T9 — Android real: </w:t>
      </w:r>
      <w:r>
        <w:t xml:space="preserve">único bloqueador real que queda del Bloque 1. Nunca se ha probado en un dispositivo físico.</w:t>
      </w:r>
    </w:p>
    <w:p>
      <w:pPr>
        <w:spacing w:after="100"/>
        <w:ind w:left="260"/>
      </w:pPr>
      <w:r>
        <w:rPr>
          <w:b/>
          <w:bCs/>
        </w:rPr>
        <w:t xml:space="preserve">— </w:t>
      </w:r>
      <w:r>
        <w:rPr>
          <w:b/>
          <w:bCs/>
        </w:rPr>
        <w:t xml:space="preserve">P12 — VoiceOver: </w:t>
      </w:r>
      <w:r>
        <w:t xml:space="preserve">verificación manual pendiente, 40 minutos estimados, nunca hecha pese a que la base de accesibilidad ya está construida.</w:t>
      </w:r>
    </w:p>
    <w:p>
      <w:pPr>
        <w:pStyle w:val="Heading2"/>
        <w:spacing w:after="100" w:before="260"/>
      </w:pPr>
      <w:r>
        <w:t xml:space="preserve">B. Cierre de mes (F-B1) — continuar la especificación</w:t>
      </w:r>
    </w:p>
    <w:p>
      <w:pPr>
        <w:spacing w:after="160"/>
      </w:pPr>
      <w:r>
        <w:t xml:space="preserve">Retomar exactamente en la pregunta abierta de la sección 12: absorber avisoCierre dentro de la pantalla nueva, o dejarlos separados. Después de eso falta definir el contenido exacto (qué métricas, cómo se decide qué es "positivo" y qué es "negativo", qué acción única se sugiere al cerrar) antes de escribir cualquier prompt de tanda.</w:t>
      </w:r>
    </w:p>
    <w:p>
      <w:pPr>
        <w:pStyle w:val="Heading2"/>
        <w:spacing w:after="100" w:before="260"/>
      </w:pPr>
      <w:r>
        <w:t xml:space="preserve">C. Backlog confirmado, sin especificar</w:t>
      </w:r>
    </w:p>
    <w:p>
      <w:pPr>
        <w:spacing w:after="100"/>
        <w:ind w:left="260"/>
      </w:pPr>
      <w:r>
        <w:rPr>
          <w:b/>
          <w:bCs/>
        </w:rPr>
        <w:t xml:space="preserve">— </w:t>
      </w:r>
      <w:r>
        <w:rPr>
          <w:b/>
          <w:bCs/>
        </w:rPr>
        <w:t xml:space="preserve">Metas — aspecto personalizable: </w:t>
      </w:r>
      <w:r>
        <w:t xml:space="preserve">poder elegir ícono/color por meta individual, simétrico a categoriaIconos. Necesita su propia mini-especificación (campo nuevo, selector, migración) antes de convertirse en tanda.</w:t>
      </w:r>
    </w:p>
    <w:p>
      <w:pPr>
        <w:pStyle w:val="Heading2"/>
        <w:spacing w:after="100" w:before="260"/>
      </w:pPr>
      <w:r>
        <w:t xml:space="preserve">D. Descartado conscientemente</w:t>
      </w:r>
    </w:p>
    <w:p>
      <w:pPr>
        <w:spacing w:after="100"/>
        <w:ind w:left="260"/>
      </w:pPr>
      <w:r>
        <w:rPr>
          <w:b/>
          <w:bCs/>
        </w:rPr>
        <w:t xml:space="preserve">— </w:t>
      </w:r>
      <w:r>
        <w:rPr>
          <w:b/>
          <w:bCs/>
        </w:rPr>
        <w:t xml:space="preserve">Cartola bancaria: </w:t>
      </w:r>
      <w:r>
        <w:t xml:space="preserve">alcance real (parser por banco en PDF, sin librerías externas) demasiado grande para el retorno esperado ahora. Matiz para una futura reconsideración: el Estudio original asumía CSV/Excel, no PDF — bastante más barato de construir con SheetJS, ya autohospedado en el proyecto.</w:t>
      </w:r>
    </w:p>
    <w:p>
      <w:pPr>
        <w:pStyle w:val="Heading2"/>
        <w:spacing w:after="100" w:before="260"/>
      </w:pPr>
      <w:r>
        <w:t xml:space="preserve">E. Backlog de negocio (sin cambios, sigue pausado por decisión ya tomada)</w:t>
      </w:r>
    </w:p>
    <w:p>
      <w:pPr>
        <w:spacing w:after="100"/>
        <w:ind w:left="260"/>
      </w:pPr>
      <w:r>
        <w:rPr>
          <w:b/>
          <w:bCs/>
        </w:rPr>
        <w:t xml:space="preserve">— </w:t>
      </w:r>
      <w:r>
        <w:rPr>
          <w:b/>
          <w:bCs/>
        </w:rPr>
        <w:t xml:space="preserve">Telemetría básica: </w:t>
      </w:r>
      <w:r>
        <w:t xml:space="preserve">en pausa hasta terminar el producto (Bloque 1 completo, incluido Android) y activar reclutamiento de testers — decisión reafirmada hoy.</w:t>
      </w:r>
    </w:p>
    <w:p>
      <w:pPr>
        <w:spacing w:after="100"/>
        <w:ind w:left="260"/>
      </w:pPr>
      <w:r>
        <w:rPr>
          <w:b/>
          <w:bCs/>
        </w:rPr>
        <w:t xml:space="preserve">— </w:t>
      </w:r>
      <w:r>
        <w:rPr>
          <w:b/>
          <w:bCs/>
        </w:rPr>
        <w:t xml:space="preserve">Link de pago, Asesor IA, OCR, modo pareja, backend: </w:t>
      </w:r>
      <w:r>
        <w:t xml:space="preserve">todo Etapa 3 en adelante, sin cambios respecto a días anteriores.</w:t>
      </w:r>
    </w:p>
    <w:p>
      <w:pPr>
        <w:pStyle w:val="Heading2"/>
        <w:spacing w:after="100" w:before="260"/>
      </w:pPr>
      <w:r>
        <w:t xml:space="preserve">F. Commits del Día 13</w:t>
      </w:r>
    </w:p>
    <w:p>
      <w:pPr>
        <w:spacing w:after="160"/>
      </w:pPr>
      <w:r>
        <w:t xml:space="preserve">358527f · T4 parte 3 (59/59)  —  fbf776b · .cat-row + test T4 + animaciones (mezclado)  —  25eaf85 · Opción D debt/goal-card  —  f4fd76b · schemaVersion (T11)  —  4a0f2e3 · notificación local de cuota  —  266c083 · racha de registro diario (F-C5)  —  42970cb · meta completada, rediseño híbrido  —  fix de addMonths (pendiente de confirmar hash exacto, verificado y listo para commitear).</w:t>
      </w:r>
    </w:p>
    <w:p>
      <w:pPr>
        <w:spacing w:after="200"/>
      </w:pPr>
    </w:p>
    <w:p>
      <w:r>
        <w:rPr>
          <w:i/>
          <w:iCs/>
          <w:color w:val="888888"/>
          <w:sz w:val="18"/>
          <w:szCs w:val="18"/>
        </w:rPr>
        <w:t xml:space="preserve">Documento: Resumen del Día 13 — MisFinanzas (Telora). Se lee junto con el Estudio Exhaustivo, la Especificación Final v1.1 y Telora_Que_Falta_Para_Terminar_Dia13.docx.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2026-09-15T04:13:04.118Z</dcterms:created>
  <dcterms:modified xsi:type="dcterms:W3CDTF">2026-09-15T04:13:04.128Z</dcterms:modified>
</cp:coreProperties>
</file>

<file path=docProps/custom.xml><?xml version="1.0" encoding="utf-8"?>
<Properties xmlns="http://schemas.openxmlformats.org/officeDocument/2006/custom-properties" xmlns:vt="http://schemas.openxmlformats.org/officeDocument/2006/docPropsVTypes"/>
</file>