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MisFinanzas (Telora)</w:t>
      </w:r>
    </w:p>
    <w:p>
      <w:pPr>
        <w:spacing w:after="320"/>
      </w:pPr>
      <w:r>
        <w:rPr>
          <w:i/>
          <w:iCs/>
          <w:color w:val="666666"/>
        </w:rPr>
        <w:t xml:space="preserve">Resumen del día — 16 de septiembre de 2026 (Día 14)</w:t>
      </w:r>
    </w:p>
    <w:p>
      <w:pPr>
        <w:pStyle w:val="Heading1"/>
        <w:spacing w:after="160" w:before="360"/>
      </w:pPr>
      <w:r>
        <w:t xml:space="preserve">1. Bloque 1 completo: T9 cerrado</w:t>
      </w:r>
    </w:p>
    <w:p>
      <w:pPr>
        <w:spacing w:after="180"/>
      </w:pPr>
      <w:r>
        <w:rPr>
          <w:b/>
          <w:bCs/>
        </w:rPr>
        <w:t xml:space="preserve">Hallazgo central — </w:t>
      </w:r>
      <w:r>
        <w:t xml:space="preserve">el único bloqueador real para reclutar testers externos, confirmar la app en un dispositivo Android físico (T9), quedó cerrado hoy — probado en una tablet Samsung Galaxy Tab, en pantalla completa, sin desbordes a 375 px. Con eso, los 7 ítems del Bloque 1 identificados en la auditoría del Día 13 están completos por primera vez.</w:t>
      </w:r>
    </w:p>
    <w:p>
      <w:pPr>
        <w:spacing w:after="180"/>
      </w:pPr>
      <w:r>
        <w:rPr>
          <w:b/>
          <w:bCs/>
        </w:rPr>
        <w:t xml:space="preserve">Pendiente sin resolver — </w:t>
      </w:r>
      <w:r>
        <w:t xml:space="preserve">el ícono del launcher y el encabezado de la app siguen mostrando «MisFinanzas» en vez de «Telora» — observado dos veces hoy, sin decisión tomada.</w:t>
      </w:r>
    </w:p>
    <w:p>
      <w:pPr>
        <w:pStyle w:val="Heading1"/>
        <w:spacing w:after="160" w:before="360"/>
      </w:pPr>
      <w:r>
        <w:t xml:space="preserve">2. F-B1 — Pantalla de cierre de mes</w:t>
      </w:r>
    </w:p>
    <w:p>
      <w:pPr>
        <w:spacing w:after="180"/>
      </w:pPr>
      <w:r>
        <w:rPr>
          <w:b/>
          <w:bCs/>
        </w:rPr>
        <w:t xml:space="preserve">Reemplazo del banner — </w:t>
      </w:r>
      <w:r>
        <w:t xml:space="preserve">avisoCierre (un banner discreto que solo avisaba de cuotas sin confirmar) fue reemplazado por una pantalla completa que interrumpe, con dos secciones siempre presentes — «Lo positivo» y «Lo negativo» del mes que cierra — y un botón único con prioridad dinámica: cuotas sin confirmar → categoría en mayor sobregasto → «Entendido».</w:t>
      </w:r>
    </w:p>
    <w:p>
      <w:pPr>
        <w:spacing w:after="180"/>
      </w:pPr>
      <w:r>
        <w:rPr>
          <w:b/>
          <w:bCs/>
        </w:rPr>
        <w:t xml:space="preserve">Contenido — </w:t>
      </w:r>
      <w:r>
        <w:t xml:space="preserve">ensamblado reusando el motor de insights ya existente (semáforo, categorías bajo control, categorías en alerta, metas completadas, comparación mes a mes) sin recalcular ningún criterio nuevo.</w:t>
      </w:r>
    </w:p>
    <w:p>
      <w:pPr>
        <w:spacing w:after="180"/>
      </w:pPr>
      <w:r>
        <w:rPr>
          <w:b/>
          <w:bCs/>
        </w:rPr>
        <w:t xml:space="preserve">Verificación — </w:t>
      </w:r>
      <w:r>
        <w:t xml:space="preserve">cuatro escenarios sintéticos (cuotas pendientes, categoría en sobregasto, mes completamente positivo, primer mes sin datos) más una confirmación en producción real (agosto 2026: alerta de Vestuario, semáforo en ámbar). Dos verificaciones adicionales de rigor: el semáforo recalculado en la pantalla coincidió exactamente con el semáforo real en tres casos (rojo/ámbar/verde), y se demostró algebraicamente — no solo observó — que «Disponible final» es matemáticamente idéntico a disponibleLibre para un mes ya cerrado.</w:t>
      </w:r>
    </w:p>
    <w:p>
      <w:pPr>
        <w:pStyle w:val="Heading1"/>
        <w:spacing w:after="160" w:before="360"/>
      </w:pPr>
      <w:r>
        <w:t xml:space="preserve">3. Descarte individual de insights y fix de alcance entre meses</w:t>
      </w:r>
    </w:p>
    <w:p>
      <w:pPr>
        <w:spacing w:after="180"/>
      </w:pPr>
      <w:r>
        <w:rPr>
          <w:b/>
          <w:bCs/>
        </w:rPr>
        <w:t xml:space="preserve">Reactivación acotada — </w:t>
      </w:r>
      <w:r>
        <w:t xml:space="preserve">se reactivó el botón «x» para descartar insights del núcleo fijo (frase del mes, cuotas por confirmar, cuota que termina pronto, categoría bajo control, meta cumplida) por el resto del día — funcionalidad que había existido antes (Tanda V) y se retiró a pedido del usuario al introducir «Más insights». Se acotó esta vez solo al núcleo fijo.</w:t>
      </w:r>
    </w:p>
    <w:p>
      <w:pPr>
        <w:spacing w:after="180"/>
      </w:pPr>
      <w:r>
        <w:rPr>
          <w:b/>
          <w:bCs/>
        </w:rPr>
        <w:t xml:space="preserve">Bug encontrado en investigación posterior — </w:t>
      </w:r>
      <w:r>
        <w:t xml:space="preserve">el contador «Mostrar N insight(s) oculto(s)» contaba correctamente solo el mes que se estaba viendo, pero el botón de restaurar borraba el bucket completo del día sin filtrar por mes — un usuario que navegaba entre meses el mismo día podía revivir sin darse cuenta un descarte de otro mes. Corregido filtrando por el mismo criterio que ya usaba el contador; verificado reproduciendo el escenario exacto y confirmando en consola que el id del mes no visitado sobrevivía intacto tras restaurar en el otro.</w:t>
      </w:r>
    </w:p>
    <w:p>
      <w:pPr>
        <w:pStyle w:val="Heading1"/>
        <w:spacing w:after="160" w:before="360"/>
      </w:pPr>
      <w:r>
        <w:t xml:space="preserve">4. Fusión del cálculo de variación de categorías</w:t>
      </w:r>
    </w:p>
    <w:p>
      <w:pPr>
        <w:spacing w:after="180"/>
      </w:pPr>
      <w:r>
        <w:rPr>
          <w:b/>
          <w:bCs/>
        </w:rPr>
        <w:t xml:space="preserve">Duplicación encontrada — </w:t>
      </w:r>
      <w:r>
        <w:t xml:space="preserve">con evidencia de capturas reales: la misma categoría (Vestuario) aparecía dos veces en la misma pantalla del Resumen, con el mismo monto, una vez en el núcleo fijo («categoría bajo control») y otra en «Más insights» («categoría con mayor variación») — tres funciones distintas calculando la misma variación por categoría de forma independiente.</w:t>
      </w:r>
    </w:p>
    <w:p>
      <w:pPr>
        <w:spacing w:after="180"/>
      </w:pPr>
      <w:r>
        <w:rPr>
          <w:b/>
          <w:bCs/>
        </w:rPr>
        <w:t xml:space="preserve">Corrección — </w:t>
      </w:r>
      <w:r>
        <w:t xml:space="preserve">las tres funciones (categoriasBajoControl, categoriasEnAlerta, variacionCategorias) pasaron a compartir un único cálculo base; «categoría con mayor variación» ahora excluye lo ya mostrado en el núcleo fijo, con un mensaje de fallback explícito cuando no queda nada nuevo que mostrar.</w:t>
      </w:r>
    </w:p>
    <w:p>
      <w:pPr>
        <w:spacing w:after="180"/>
      </w:pPr>
      <w:r>
        <w:rPr>
          <w:b/>
          <w:bCs/>
        </w:rPr>
        <w:t xml:space="preserve">Verificación — </w:t>
      </w:r>
      <w:r>
        <w:t xml:space="preserve">comparación byte a byte entre la implementación vieja y la nueva, corridas en paralelo sobre el respaldo real del usuario — no solo los tres números puntuales pedidos, sino las dos comparaciones de mes completas disponibles en los datos reales, sin ninguna diferencia.</w:t>
      </w:r>
    </w:p>
    <w:p>
      <w:pPr>
        <w:pStyle w:val="Heading1"/>
        <w:spacing w:after="160" w:before="360"/>
      </w:pPr>
      <w:r>
        <w:t xml:space="preserve">5. Cambios menores de interfaz</w:t>
      </w:r>
    </w:p>
    <w:p>
      <w:pPr>
        <w:spacing w:after="100"/>
        <w:ind w:left="360"/>
      </w:pPr>
      <w:r>
        <w:t xml:space="preserve">— </w:t>
      </w:r>
      <w:r>
        <w:t xml:space="preserve">Racha de registro: pasó de un bloque de ancho completo a una insignia compacta junto a los botones de vista, con un toggle para expandir a «Racha de N días de registro» y volver a compactar.</w:t>
      </w:r>
    </w:p>
    <w:p>
      <w:pPr>
        <w:spacing w:after="100"/>
        <w:ind w:left="360"/>
      </w:pPr>
      <w:r>
        <w:t xml:space="preserve">— </w:t>
      </w:r>
      <w:r>
        <w:t xml:space="preserve">Botón para restaurar insights descartados del día, visible solo cuando hay algo oculto.</w:t>
      </w:r>
    </w:p>
    <w:p>
      <w:pPr>
        <w:spacing w:after="100"/>
        <w:ind w:left="360"/>
      </w:pPr>
      <w:r>
        <w:t xml:space="preserve">— </w:t>
      </w:r>
      <w:r>
        <w:t xml:space="preserve">El día de hoy se resalta en Historial: encabezado en negrita y con más contraste, y cada fila de gasto/ingreso de hoy lleva un borde de acento dorado, reusando el mismo mecanismo visual ya usado en tarjetas de deuda y meta.</w:t>
      </w:r>
    </w:p>
    <w:p>
      <w:pPr>
        <w:pStyle w:val="Heading1"/>
        <w:spacing w:after="160" w:before="360"/>
      </w:pPr>
      <w:r>
        <w:t xml:space="preserve">6. Incidente de datos reales: pérdida de fuentes de ingreso personalizadas</w:t>
      </w:r>
    </w:p>
    <w:p>
      <w:pPr>
        <w:spacing w:after="180"/>
      </w:pPr>
      <w:r>
        <w:rPr>
          <w:b/>
          <w:bCs/>
        </w:rPr>
        <w:t xml:space="preserve">Reporte del usuario — </w:t>
      </w:r>
      <w:r>
        <w:t xml:space="preserve">«Iustax», «Agrupación» y «Sesiones Online» habían desaparecido de Fuentes de ingreso en la app real de uso diario, dejando solo «Otros».</w:t>
      </w:r>
    </w:p>
    <w:p>
      <w:pPr>
        <w:spacing w:after="180"/>
      </w:pPr>
      <w:r>
        <w:rPr>
          <w:b/>
          <w:bCs/>
        </w:rPr>
        <w:t xml:space="preserve">Diagnóstico por comparación de respaldos — </w:t>
      </w:r>
      <w:r>
        <w:t xml:space="preserve">las tres fuentes estaban intactas en los respaldos del 1, 2 y 11 de septiembre; desaparecieron entre el 11 y el 15. Categorías y métodos de pago permanecieron intactos en el mismo período, acotando el problema a fuentes específicamente.</w:t>
      </w:r>
    </w:p>
    <w:p>
      <w:pPr>
        <w:spacing w:after="180"/>
      </w:pPr>
      <w:r>
        <w:rPr>
          <w:b/>
          <w:bCs/>
        </w:rPr>
        <w:t xml:space="preserve">Sin pérdida de datos real — </w:t>
      </w:r>
      <w:r>
        <w:t xml:space="preserve">se confirmó, revisando los 19 ingresos del respaldo más reciente uno por uno, que los 19 conservaban su fuente original correcta — la fuente se guarda como texto en cada registro, no como referencia a la lista de Configuración, así que ningún ingreso quedó afectado.</w:t>
      </w:r>
    </w:p>
    <w:p>
      <w:pPr>
        <w:spacing w:after="180"/>
      </w:pPr>
      <w:r>
        <w:rPr>
          <w:b/>
          <w:bCs/>
        </w:rPr>
        <w:t xml:space="preserve">Causa raíz confirmada — </w:t>
      </w:r>
      <w:r>
        <w:t xml:space="preserve">el onboarding, al relanzarse, sobrescribía por completo state.config.fuentes/categorias con lo marcado en una encuesta de opciones fijas que nunca incluye ítems personalizados — bug presente desde el Día 11, ya detectado y dejado sin corregir en el Día 12. Corregido: el relanzamiento ahora fusiona lo marcado con cualquier ítem personalizado preexistente, en vez de sobrescribir.</w:t>
      </w:r>
    </w:p>
    <w:p>
      <w:pPr>
        <w:spacing w:after="180"/>
      </w:pPr>
      <w:r>
        <w:rPr>
          <w:b/>
          <w:bCs/>
        </w:rPr>
        <w:t xml:space="preserve">Hallazgo colateral — </w:t>
      </w:r>
      <w:r>
        <w:t xml:space="preserve">se confirmó un incidente separado de automatización accidental contra telora.cl (producción real) el 13 de septiembre, que ejecutó una escritura incondicional de categorías en esa pestaña. El efecto real sobre los datos no quedó verificado entonces ni pudo confirmarse ahora con certeza total, aunque no hay evidencia de daño al comparar categorías entre respaldos.</w:t>
      </w:r>
    </w:p>
    <w:p>
      <w:pPr>
        <w:pStyle w:val="Heading1"/>
        <w:spacing w:after="160" w:before="360"/>
      </w:pPr>
      <w:r>
        <w:t xml:space="preserve">7. Rediseño de Configuración</w:t>
      </w:r>
    </w:p>
    <w:p>
      <w:pPr>
        <w:spacing w:after="180"/>
      </w:pPr>
      <w:r>
        <w:rPr>
          <w:b/>
          <w:bCs/>
        </w:rPr>
        <w:t xml:space="preserve">Reorganización — </w:t>
      </w:r>
      <w:r>
        <w:t xml:space="preserve">de nueve secciones colapsables seguidas (decisión acordada desde el Día 9 y nunca ejecutada) a cinco bloques de nivel superior: Tus datos, Apariencia, Datos y seguridad, Respaldo de datos (destacado en negrita/dorado, movido a segunda posición) y Tutorial (renombrado desde «Onboarding»).</w:t>
      </w:r>
    </w:p>
    <w:p>
      <w:pPr>
        <w:spacing w:after="180"/>
      </w:pPr>
      <w:r>
        <w:rPr>
          <w:b/>
          <w:bCs/>
        </w:rPr>
        <w:t xml:space="preserve">Borrado seguro de categorías — </w:t>
      </w:r>
      <w:r>
        <w:t xml:space="preserve">se extendió a categorías el mismo mecanismo de reasignación obligatoria que ya protegía a métodos y fuentes desde la Tanda W — cerrando un bug de borrado silencioso documentado desde el Día 9 y nunca corregido.</w:t>
      </w:r>
    </w:p>
    <w:p>
      <w:pPr>
        <w:spacing w:after="180"/>
      </w:pPr>
      <w:r>
        <w:rPr>
          <w:b/>
          <w:bCs/>
        </w:rPr>
        <w:t xml:space="preserve">Color personalizado por categoría — </w:t>
      </w:r>
      <w:r>
        <w:t xml:space="preserve">nuevo campo de color opcional, con un sheet de 16 tonos (mismo patrón que el selector de ícono existente), alimentando colorDeCategoria() como override antes de caer a la paleta fija.</w:t>
      </w:r>
    </w:p>
    <w:p>
      <w:pPr>
        <w:spacing w:after="180"/>
      </w:pPr>
      <w:r>
        <w:rPr>
          <w:b/>
          <w:bCs/>
        </w:rPr>
        <w:t xml:space="preserve">Patrón unificado — </w:t>
      </w:r>
      <w:r>
        <w:t xml:space="preserve">tras una auditoría de usabilidad con ocho hallazgos documentados (línea de código citada en cada uno), se unificó el patrón de editar/eliminar en las cuatro listas de Configuración (Categorías, Métodos, Fuentes, Cuentas) bajo una sola estructura de fila, decidida tras revisar un mockup comparativo de dos alternativas.</w:t>
      </w:r>
    </w:p>
    <w:p>
      <w:pPr>
        <w:spacing w:after="180"/>
      </w:pPr>
      <w:r>
        <w:rPr>
          <w:b/>
          <w:bCs/>
        </w:rPr>
        <w:t xml:space="preserve">Red de seguridad — </w:t>
      </w:r>
      <w:r>
        <w:t xml:space="preserve">se agregó confirmación con toast y «Deshacer» de 10 segundos al eliminar una categoría, método o fuente sin uso — la única zona de la app que hasta hoy borraba de forma permanente sin ninguna protección.</w:t>
      </w:r>
    </w:p>
    <w:p>
      <w:pPr>
        <w:pStyle w:val="Heading1"/>
        <w:spacing w:after="160" w:before="360"/>
      </w:pPr>
      <w:r>
        <w:t xml:space="preserve">8. Fix: «Resumen como imagen» no coincidía con el Resumen real</w:t>
      </w:r>
    </w:p>
    <w:p>
      <w:pPr>
        <w:spacing w:after="180"/>
      </w:pPr>
      <w:r>
        <w:rPr>
          <w:b/>
          <w:bCs/>
        </w:rPr>
        <w:t xml:space="preserve">Hallazgo — </w:t>
      </w:r>
      <w:r>
        <w:t xml:space="preserve">la función quedó congelada en la fórmula de Gastos/Disponible anterior a la unificación del Día 11, nunca actualizada desde entonces — su propio comentario decía «mismo cálculo que renderResumen», lo cual ya no era cierto. Esto causaba tres síntomas del mismo defecto: gastos sin cuotas en el encabezado, un desglose por categoría que sí las incluía todas sin filtrar, y un Disponible con el signo invertido por no reincorporar cuotas pendientes.</w:t>
      </w:r>
    </w:p>
    <w:p>
      <w:pPr>
        <w:spacing w:after="180"/>
      </w:pPr>
      <w:r>
        <w:rPr>
          <w:b/>
          <w:bCs/>
        </w:rPr>
        <w:t xml:space="preserve">Corrección — </w:t>
      </w:r>
      <w:r>
        <w:t xml:space="preserve">la función pasó a reusar resumenTotalesDelMes() y donaResumenData(), las mismas fuentes que ya usa el Resumen real, en vez de recalcular por su cuenta. Verificado al peso en un mes abierto y uno cerrado.</w:t>
      </w:r>
    </w:p>
    <w:p>
      <w:pPr>
        <w:spacing w:after="100" w:before="200"/>
      </w:pPr>
      <w:r>
        <w:rPr>
          <w:i/>
          <w:iCs/>
          <w:color w:val="666666"/>
        </w:rPr>
        <w:t xml:space="preserve">Sin comitear al cierre del día — el cambio queda listo en el árbol de trabajo, pendiente de confirmación.</w:t>
      </w:r>
    </w:p>
    <w:p>
      <w:pPr>
        <w:pStyle w:val="Heading1"/>
        <w:spacing w:after="160" w:before="360"/>
      </w:pPr>
      <w:r>
        <w:t xml:space="preserve">9. Nota de método: contaminación de estado entre sesiones de prueba</w:t>
      </w:r>
    </w:p>
    <w:p>
      <w:pPr>
        <w:spacing w:after="180"/>
      </w:pPr>
      <w:r>
        <w:t xml:space="preserve">Dos incidentes el mismo día (una categoría «Salud» residual encontrada durante la auditoría de Configuración, un método «Débito» desincronizado durante la verificación del patrón unificado) por reutilizar el servidor de pruebas local sin confirmar su estado al empezar. Se agregó una regla a guia_prompts_claude_code_telora.md: confirmar o reiniciar el estado de localStorage al inicio de cada sesión de verificación, en vez de asumir que quedó como la sesión anterior lo dejó.</w:t>
      </w:r>
    </w:p>
    <w:p>
      <w:pPr>
        <w:pStyle w:val="Heading1"/>
        <w:spacing w:after="160" w:before="360"/>
      </w:pPr>
      <w:r>
        <w:t xml:space="preserve">10. Nota de método: automatización de navegador contra producción</w:t>
      </w:r>
    </w:p>
    <w:p>
      <w:pPr>
        <w:spacing w:after="180"/>
      </w:pPr>
      <w:r>
        <w:t xml:space="preserve">A raíz del incidente confirmado del 13 de septiembre (una automatización pensada para el entorno local se ejecutó por error contra telora.cl), se dejó pendiente agregar a la guía de prompts una regla explícita: confirmar el origen/URL de la pestaña activa antes de cualquier automatización de navegador, y no ejecutar nunca contra producción salvo que esa sea la intención declarada de antemano.</w:t>
      </w:r>
    </w:p>
    <w:p>
      <w:pPr>
        <w:pBdr>
          <w:bottom w:val="single" w:color="CCCCCC" w:sz="6" w:space="1"/>
        </w:pBdr>
        <w:spacing w:after="300" w:before="300"/>
      </w:pPr>
    </w:p>
    <w:p>
      <w:pPr>
        <w:pStyle w:val="Heading1"/>
        <w:spacing w:after="160" w:before="360"/>
      </w:pPr>
      <w:r>
        <w:t xml:space="preserve">Anexo — Para continuar el Día 15</w:t>
      </w:r>
    </w:p>
    <w:p>
      <w:pPr>
        <w:pStyle w:val="Heading2"/>
        <w:spacing w:after="120" w:before="260"/>
      </w:pPr>
      <w:r>
        <w:t xml:space="preserve">A. Pendiente sin resolver</w:t>
      </w:r>
    </w:p>
    <w:p>
      <w:pPr>
        <w:spacing w:after="100"/>
        <w:ind w:left="360"/>
      </w:pPr>
      <w:r>
        <w:t xml:space="preserve">— </w:t>
      </w:r>
      <w:r>
        <w:t xml:space="preserve">Confirmar el commit del fix de «Resumen como imagen» (sección 8) — quedó sin comitear al cierre del día.</w:t>
      </w:r>
    </w:p>
    <w:p>
      <w:pPr>
        <w:spacing w:after="100"/>
        <w:ind w:left="360"/>
      </w:pPr>
      <w:r>
        <w:t xml:space="preserve">— </w:t>
      </w:r>
      <w:r>
        <w:t xml:space="preserve">Efecto real, no verificado con certeza, del incidente de automatización del 13-09 sobre categorías en producción (sección 6).</w:t>
      </w:r>
    </w:p>
    <w:p>
      <w:pPr>
        <w:spacing w:after="100"/>
        <w:ind w:left="360"/>
      </w:pPr>
      <w:r>
        <w:t xml:space="preserve">— </w:t>
      </w:r>
      <w:r>
        <w:t xml:space="preserve">generarResumenImagen() no tiene cobertura en tests.html — quedó identificado como deuda técnica, no resuelto.</w:t>
      </w:r>
    </w:p>
    <w:p>
      <w:pPr>
        <w:spacing w:after="100"/>
        <w:ind w:left="360"/>
      </w:pPr>
      <w:r>
        <w:t xml:space="preserve">— </w:t>
      </w:r>
      <w:r>
        <w:t xml:space="preserve">Rebrand visual MisFinanzas → Telora (ícono del launcher, encabezado de la app) sigue sin aplicarse.</w:t>
      </w:r>
    </w:p>
    <w:p>
      <w:pPr>
        <w:spacing w:after="100"/>
        <w:ind w:left="360"/>
      </w:pPr>
      <w:r>
        <w:t xml:space="preserve">— </w:t>
      </w:r>
      <w:r>
        <w:t xml:space="preserve">Hallazgo 5 de la auditoría de Configuración (aplanar un nivel de acordeón o agregar buscador en listas largas) — sin decisión tomada.</w:t>
      </w:r>
    </w:p>
    <w:p>
      <w:pPr>
        <w:spacing w:after="100"/>
        <w:ind w:left="360"/>
      </w:pPr>
      <w:r>
        <w:t xml:space="preserve">— </w:t>
      </w:r>
      <w:r>
        <w:t xml:space="preserve">Regla de automatización contra producción (sección 10) — el texto quedó redactado pero no se confirmó si se agregó a la guía de prompts.</w:t>
      </w:r>
    </w:p>
    <w:p>
      <w:pPr>
        <w:pStyle w:val="Heading2"/>
        <w:spacing w:after="120" w:before="260"/>
      </w:pPr>
      <w:r>
        <w:t xml:space="preserve">B. Aclarado hoy, no requiere trabajo</w:t>
      </w:r>
    </w:p>
    <w:p>
      <w:pPr>
        <w:spacing w:after="180"/>
      </w:pPr>
      <w:r>
        <w:rPr>
          <w:b/>
          <w:bCs/>
        </w:rPr>
        <w:t xml:space="preserve">El «carrusel» de insights — </w:t>
      </w:r>
      <w:r>
        <w:t xml:space="preserve">que se pensaba construir para «Más insights» resultó ser una confusión de nombres: los tres puntos que aparecían en las capturas son el semáforo de salud financiera (verde/ámbar/rojo), no un indicador de páginas. «Carrusel» es solo el nombre interno heredado de un commit del Día 8, cuando esa sección sí era swipeable — hoy es un stack vertical con un desplegable. No hay carrusel que construir ni reparar bajo ese nombre; si se quiere una vista swipeable para «Más insights» en el futuro, es diseño nuevo desde cero.</w:t>
      </w:r>
    </w:p>
    <w:p>
      <w:pPr>
        <w:pStyle w:val="Heading2"/>
        <w:spacing w:after="120" w:before="260"/>
      </w:pPr>
      <w:r>
        <w:t xml:space="preserve">C. Commits del Día 14</w:t>
      </w:r>
    </w:p>
    <w:p>
      <w:pPr>
        <w:spacing w:after="100"/>
        <w:ind w:left="360"/>
      </w:pPr>
      <w:r>
        <w:t xml:space="preserve">— </w:t>
      </w:r>
      <w:r>
        <w:t xml:space="preserve">559552d · Cambios menores de UI (racha compacta, restaurar insights, hoy en Historial)</w:t>
      </w:r>
    </w:p>
    <w:p>
      <w:pPr>
        <w:spacing w:after="100"/>
        <w:ind w:left="360"/>
      </w:pPr>
      <w:r>
        <w:t xml:space="preserve">— </w:t>
      </w:r>
      <w:r>
        <w:t xml:space="preserve">af23db2 · Unifica cálculo de variación de categorías, elimina duplicado</w:t>
      </w:r>
    </w:p>
    <w:p>
      <w:pPr>
        <w:spacing w:after="100"/>
        <w:ind w:left="360"/>
      </w:pPr>
      <w:r>
        <w:t xml:space="preserve">— </w:t>
      </w:r>
      <w:r>
        <w:t xml:space="preserve">48cad1a · Toggle de la insignia de racha (compacta ↔ texto completo)</w:t>
      </w:r>
    </w:p>
    <w:p>
      <w:pPr>
        <w:spacing w:after="100"/>
        <w:ind w:left="360"/>
      </w:pPr>
      <w:r>
        <w:t xml:space="preserve">— </w:t>
      </w:r>
      <w:r>
        <w:t xml:space="preserve">Cierre de mes (F-B1): reemplaza avisoCierre por pantalla completa</w:t>
      </w:r>
    </w:p>
    <w:p>
      <w:pPr>
        <w:spacing w:after="100"/>
        <w:ind w:left="360"/>
      </w:pPr>
      <w:r>
        <w:t xml:space="preserve">— </w:t>
      </w:r>
      <w:r>
        <w:t xml:space="preserve">Reactiva descarte individual (x) de insights, acotado al núcleo fijo</w:t>
      </w:r>
    </w:p>
    <w:p>
      <w:pPr>
        <w:spacing w:after="100"/>
        <w:ind w:left="360"/>
      </w:pPr>
      <w:r>
        <w:t xml:space="preserve">— </w:t>
      </w:r>
      <w:r>
        <w:t xml:space="preserve">Fix: restaurar insights ocultos respeta el mes visto, no borra el bucket completo del día</w:t>
      </w:r>
    </w:p>
    <w:p>
      <w:pPr>
        <w:spacing w:after="100"/>
        <w:ind w:left="360"/>
      </w:pPr>
      <w:r>
        <w:t xml:space="preserve">— </w:t>
      </w:r>
      <w:r>
        <w:t xml:space="preserve">Configuración: borrado seguro de categorías, reorganización en 3 bloques, rediseño de fila y color personalizado</w:t>
      </w:r>
    </w:p>
    <w:p>
      <w:pPr>
        <w:spacing w:after="100"/>
        <w:ind w:left="360"/>
      </w:pPr>
      <w:r>
        <w:t xml:space="preserve">— </w:t>
      </w:r>
      <w:r>
        <w:t xml:space="preserve">Onboarding relanzado: fusiona fuentes/categorías personalizadas en vez de sobrescribirlas</w:t>
      </w:r>
    </w:p>
    <w:p>
      <w:pPr>
        <w:spacing w:after="100"/>
        <w:ind w:left="360"/>
      </w:pPr>
      <w:r>
        <w:t xml:space="preserve">— </w:t>
      </w:r>
      <w:r>
        <w:t xml:space="preserve">Configuración: Respaldo como bloque de nivel superior, renombra Onboarding a Tutorial</w:t>
      </w:r>
    </w:p>
    <w:p>
      <w:pPr>
        <w:spacing w:after="100"/>
        <w:ind w:left="360"/>
      </w:pPr>
      <w:r>
        <w:t xml:space="preserve">— </w:t>
      </w:r>
      <w:r>
        <w:t xml:space="preserve">Configuración: aplica peso visual de Respaldo + Deshacer al eliminar; Historial: borde de acento en filas de hoy</w:t>
      </w:r>
    </w:p>
    <w:p>
      <w:pPr>
        <w:spacing w:after="100"/>
        <w:ind w:left="360"/>
      </w:pPr>
      <w:r>
        <w:t xml:space="preserve">— </w:t>
      </w:r>
      <w:r>
        <w:t xml:space="preserve">Unifica patrón editar/eliminar en las 4 listas de Configuración (Categorías, Métodos, Fuentes, Cuentas)</w:t>
      </w:r>
    </w:p>
    <w:p>
      <w:pPr>
        <w:spacing w:after="100" w:before="200"/>
      </w:pPr>
      <w:r>
        <w:rPr>
          <w:i/>
          <w:iCs/>
          <w:color w:val="666666"/>
        </w:rPr>
        <w:t xml:space="preserve">Los hashes exactos de los commits posteriores a 48cad1a no quedaron registrados en la conversación; confirmar con git log antes de citarlos en futuros resúmenes.</w:t>
      </w:r>
    </w:p>
    <w:p>
      <w:pPr>
        <w:spacing w:before="400"/>
      </w:pPr>
      <w:r>
        <w:rPr>
          <w:i/>
          <w:iCs/>
          <w:color w:val="666666"/>
          <w:sz w:val="20"/>
          <w:szCs w:val="20"/>
        </w:rPr>
        <w:t xml:space="preserve">Documento: Resumen del Día 14 — MisFinanzas (Telora). Se lee junto con el Estudio Exhaustivo, la Especificación Final v1.1 y los resúmenes de días anteriores.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2026-09-16T14:59:01.658Z</dcterms:created>
  <dcterms:modified xsi:type="dcterms:W3CDTF">2026-09-16T14:59:01.668Z</dcterms:modified>
</cp:coreProperties>
</file>

<file path=docProps/custom.xml><?xml version="1.0" encoding="utf-8"?>
<Properties xmlns="http://schemas.openxmlformats.org/officeDocument/2006/custom-properties" xmlns:vt="http://schemas.openxmlformats.org/officeDocument/2006/docPropsVTypes"/>
</file>