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MisFinanzas</w:t>
      </w:r>
    </w:p>
    <w:p>
      <w:pPr>
        <w:spacing w:after="300"/>
      </w:pPr>
      <w:r>
        <w:rPr>
          <w:i/>
          <w:iCs/>
          <w:sz w:val="22"/>
          <w:szCs w:val="22"/>
        </w:rPr>
        <w:t xml:space="preserve">Resumen del día — 31 de agosto de 2026 (Día 5 del Plan de Acción)</w:t>
      </w:r>
    </w:p>
    <w:p>
      <w:pPr>
        <w:pStyle w:val="Heading1"/>
        <w:spacing w:after="150" w:before="300"/>
      </w:pPr>
      <w:r>
        <w:t xml:space="preserve">1. Contexto de la sesión</w:t>
      </w:r>
    </w:p>
    <w:p>
      <w:pPr>
        <w:spacing w:after="120"/>
      </w:pPr>
      <w:r>
        <w:rPr>
          <w:b w:val="false"/>
          <w:bCs w:val="false"/>
          <w:i w:val="false"/>
          <w:iCs w:val="false"/>
        </w:rPr>
        <w:t xml:space="preserve">El Día 5 se dedicó por completo a pulir el Historial y a construir el primer bloque de valor diferenciador de la app: Insights Financieros. Se trabajó con un método distinto al de días anteriores — cada tanda se discutió punto por punto antes de generar el prompt de ejecución, con revisión de capturas de pantalla reales entre cada iteración. Esto permitió detectar y corregir errores de diseño en el mismo ciclo en que se introdujeron, en vez de arrastrarlos a días posteriores.</w:t>
      </w:r>
    </w:p>
    <w:p>
      <w:pPr>
        <w:spacing w:after="120"/>
      </w:pPr>
      <w:r>
        <w:rPr>
          <w:b w:val="false"/>
          <w:bCs w:val="false"/>
          <w:i w:val="false"/>
          <w:iCs w:val="false"/>
        </w:rPr>
        <w:t xml:space="preserve">Se cerró además una deuda técnica documentada explícitamente como pendiente desde el Día 4: la salvedad de las cuotas sin fila propia en meses posteriores al de la compra.</w:t>
      </w:r>
    </w:p>
    <w:p>
      <w:pPr>
        <w:pStyle w:val="Heading1"/>
        <w:spacing w:after="150" w:before="300"/>
      </w:pPr>
      <w:r>
        <w:t xml:space="preserve">2. Tanda E — Comodidad de uso</w:t>
      </w:r>
    </w:p>
    <w:p>
      <w:pPr>
        <w:spacing w:after="120"/>
      </w:pPr>
      <w:r>
        <w:rPr>
          <w:b w:val="false"/>
          <w:bCs w:val="false"/>
          <w:i w:val="false"/>
          <w:iCs w:val="false"/>
        </w:rPr>
        <w:t xml:space="preserve">Objetivo: reducir fricción en el uso diario de la app, con foco en búsqueda y en compartir información del mes.</w:t>
      </w:r>
    </w:p>
    <w:p>
      <w:pPr>
        <w:pStyle w:val="Heading2"/>
        <w:spacing w:after="120" w:before="240"/>
      </w:pPr>
      <w:r>
        <w:t xml:space="preserve">2.1 Búsqueda en Historial</w:t>
      </w:r>
    </w:p>
    <w:p>
      <w:pPr>
        <w:pStyle w:val="ListParagraph"/>
        <w:numPr>
          <w:ilvl w:val="0"/>
          <w:numId w:val="1"/>
        </w:numPr>
        <w:spacing w:after="80"/>
      </w:pPr>
      <w:r>
        <w:rPr>
          <w:b w:val="false"/>
          <w:bCs w:val="false"/>
        </w:rPr>
        <w:t xml:space="preserve">Se reemplazó el dropdown de ordenamiento por un bloque de búsqueda: campo de texto (filtra por descripción en tiempo real) + botón de filtro (ícono embudo).</w:t>
      </w:r>
    </w:p>
    <w:p>
      <w:pPr>
        <w:pStyle w:val="ListParagraph"/>
        <w:numPr>
          <w:ilvl w:val="0"/>
          <w:numId w:val="1"/>
        </w:numPr>
        <w:spacing w:after="80"/>
      </w:pPr>
      <w:r>
        <w:rPr>
          <w:b w:val="false"/>
          <w:bCs w:val="false"/>
        </w:rPr>
        <w:t xml:space="preserve">El botón de filtro se implementó primero con método de pago, pero se corrigió luego a su función original de ordenamiento (fecha, monto, nombre — cada uno en ambas direcciones), que había quedado desplazada.</w:t>
      </w:r>
    </w:p>
    <w:p>
      <w:pPr>
        <w:pStyle w:val="ListParagraph"/>
        <w:numPr>
          <w:ilvl w:val="0"/>
          <w:numId w:val="1"/>
        </w:numPr>
        <w:spacing w:after="80"/>
      </w:pPr>
      <w:r>
        <w:rPr>
          <w:b w:val="false"/>
          <w:bCs w:val="false"/>
        </w:rPr>
        <w:t xml:space="preserve">Carrusel horizontal de categorías, con selección múltiple (no única) y chip "Todas" como reset automático.</w:t>
      </w:r>
    </w:p>
    <w:p>
      <w:pPr>
        <w:pStyle w:val="ListParagraph"/>
        <w:numPr>
          <w:ilvl w:val="0"/>
          <w:numId w:val="1"/>
        </w:numPr>
        <w:spacing w:after="80"/>
      </w:pPr>
      <w:r>
        <w:rPr>
          <w:b w:val="false"/>
          <w:bCs w:val="false"/>
        </w:rPr>
        <w:t xml:space="preserve">Contador de resultados visible junto al botón de filtro.</w:t>
      </w:r>
    </w:p>
    <w:p>
      <w:pPr>
        <w:pStyle w:val="ListParagraph"/>
        <w:numPr>
          <w:ilvl w:val="0"/>
          <w:numId w:val="1"/>
        </w:numPr>
        <w:spacing w:after="80"/>
      </w:pPr>
      <w:r>
        <w:rPr>
          <w:b w:val="false"/>
          <w:bCs w:val="false"/>
        </w:rPr>
        <w:t xml:space="preserve">El bloque de búsqueda se ocultó correctamente en las vistas Barra y Torta del Historial, donde no aplica (esas vistas muestran datos agregados, no una lista filtrable).</w:t>
      </w:r>
    </w:p>
    <w:p>
      <w:pPr>
        <w:pStyle w:val="ListParagraph"/>
        <w:numPr>
          <w:ilvl w:val="0"/>
          <w:numId w:val="1"/>
        </w:numPr>
        <w:spacing w:after="80"/>
      </w:pPr>
      <w:r>
        <w:rPr>
          <w:b w:val="false"/>
          <w:bCs w:val="false"/>
        </w:rPr>
        <w:t xml:space="preserve">La vista "Barra" del Historial se eliminó por decisión de producto — la vista "Torta" cubre esa necesidad.</w:t>
      </w:r>
    </w:p>
    <w:p>
      <w:pPr>
        <w:pStyle w:val="Heading2"/>
        <w:spacing w:after="120" w:before="240"/>
      </w:pPr>
      <w:r>
        <w:t xml:space="preserve">2.2 Exportar Resumen como imagen</w:t>
      </w:r>
    </w:p>
    <w:p>
      <w:pPr>
        <w:pStyle w:val="ListParagraph"/>
        <w:numPr>
          <w:ilvl w:val="0"/>
          <w:numId w:val="1"/>
        </w:numPr>
        <w:spacing w:after="80"/>
      </w:pPr>
      <w:r>
        <w:rPr>
          <w:b w:val="false"/>
          <w:bCs w:val="false"/>
        </w:rPr>
        <w:t xml:space="preserve">Nuevo botón en el topbar de Resumen genera un PNG de 1080px de ancho (estándar para compartir por WhatsApp).</w:t>
      </w:r>
    </w:p>
    <w:p>
      <w:pPr>
        <w:pStyle w:val="ListParagraph"/>
        <w:numPr>
          <w:ilvl w:val="0"/>
          <w:numId w:val="1"/>
        </w:numPr>
        <w:spacing w:after="80"/>
      </w:pPr>
      <w:r>
        <w:rPr>
          <w:b w:val="false"/>
          <w:bCs w:val="false"/>
        </w:rPr>
        <w:t xml:space="preserve">Contenido: encabezado con mes/año, totales grandes (Ingresos, Gastos, Disponible), barras horizontales por categoría con monto y porcentaje, gráfico de torta con leyenda, pie de página con fecha de generación.</w:t>
      </w:r>
    </w:p>
    <w:p>
      <w:pPr>
        <w:pStyle w:val="ListParagraph"/>
        <w:numPr>
          <w:ilvl w:val="0"/>
          <w:numId w:val="1"/>
        </w:numPr>
        <w:spacing w:after="80"/>
      </w:pPr>
      <w:r>
        <w:rPr>
          <w:b w:val="false"/>
          <w:bCs w:val="false"/>
        </w:rPr>
        <w:t xml:space="preserve">Usa las variables de color de la paleta activa del usuario — verificado en más de una paleta.</w:t>
      </w:r>
    </w:p>
    <w:p>
      <w:pPr>
        <w:pStyle w:val="ListParagraph"/>
        <w:numPr>
          <w:ilvl w:val="0"/>
          <w:numId w:val="1"/>
        </w:numPr>
        <w:spacing w:after="80"/>
      </w:pPr>
      <w:r>
        <w:rPr>
          <w:b w:val="false"/>
          <w:bCs w:val="false"/>
        </w:rPr>
        <w:t xml:space="preserve">Modal con dos acciones: "Descargar" y "Copiar al portapapeles", implementado con Canvas API nativa, sin librerías externas.</w:t>
      </w:r>
    </w:p>
    <w:p>
      <w:pPr>
        <w:pStyle w:val="Heading2"/>
        <w:spacing w:after="120" w:before="240"/>
      </w:pPr>
      <w:r>
        <w:t xml:space="preserve">2.3 Corrección de espaciado en formulario de gasto</w:t>
      </w:r>
    </w:p>
    <w:p>
      <w:pPr>
        <w:pStyle w:val="ListParagraph"/>
        <w:numPr>
          <w:ilvl w:val="0"/>
          <w:numId w:val="1"/>
        </w:numPr>
        <w:spacing w:after="80"/>
      </w:pPr>
      <w:r>
        <w:rPr>
          <w:b w:val="false"/>
          <w:bCs w:val="false"/>
        </w:rPr>
        <w:t xml:space="preserve">El carrusel de montos rápidos tenía distinto espacio arriba (con el campo Monto) que abajo (con el campo Categoría). Se ajustó el margin para lograr distancia simétrica.</w:t>
      </w:r>
    </w:p>
    <w:p>
      <w:pPr>
        <w:pStyle w:val="Heading2"/>
        <w:spacing w:after="120" w:before="240"/>
      </w:pPr>
      <w:r>
        <w:t xml:space="preserve">2.4 Cierre de la salvedad del Día 4 — filas virtuales de cuota</w:t>
      </w:r>
    </w:p>
    <w:p>
      <w:pPr>
        <w:spacing w:after="120"/>
      </w:pPr>
      <w:r>
        <w:rPr>
          <w:b w:val="false"/>
          <w:bCs w:val="false"/>
          <w:i w:val="false"/>
          <w:iCs w:val="false"/>
        </w:rPr>
        <w:t xml:space="preserve">Este fue el cambio de mayor riesgo técnico del día, por tocar directamente el cálculo de saldo acumulado que ya había tenido dos rondas de bugs en el Día 4. Se abordó como una fase separada, después de cerrar las correcciones simples de la tanda.</w:t>
      </w:r>
    </w:p>
    <w:p>
      <w:pPr>
        <w:pStyle w:val="ListParagraph"/>
        <w:numPr>
          <w:ilvl w:val="0"/>
          <w:numId w:val="1"/>
        </w:numPr>
        <w:spacing w:after="80"/>
      </w:pPr>
      <w:r>
        <w:rPr>
          <w:b w:val="false"/>
          <w:bCs w:val="false"/>
        </w:rPr>
        <w:t xml:space="preserve">Cada compra a cuotas ahora genera una fila virtual en el Historial de cada mes posterior en que la cuota sigue vigente, no solo en el mes de la compra original.</w:t>
      </w:r>
    </w:p>
    <w:p>
      <w:pPr>
        <w:pStyle w:val="ListParagraph"/>
        <w:numPr>
          <w:ilvl w:val="0"/>
          <w:numId w:val="1"/>
        </w:numPr>
        <w:spacing w:after="80"/>
      </w:pPr>
      <w:r>
        <w:rPr>
          <w:b w:val="false"/>
          <w:bCs w:val="false"/>
        </w:rPr>
        <w:t xml:space="preserve">Fecha de la fila virtual: mismo día del mes que la compra original.</w:t>
      </w:r>
    </w:p>
    <w:p>
      <w:pPr>
        <w:pStyle w:val="ListParagraph"/>
        <w:numPr>
          <w:ilvl w:val="0"/>
          <w:numId w:val="1"/>
        </w:numPr>
        <w:spacing w:after="80"/>
      </w:pPr>
      <w:r>
        <w:rPr>
          <w:b w:val="false"/>
          <w:bCs w:val="false"/>
        </w:rPr>
        <w:t xml:space="preserve">Monto de la fila virtual: la cuota correspondiente a ese mes (no el total de la compra), en rojo, ya que representa el impacto real en el Disponible de ese mes.</w:t>
      </w:r>
    </w:p>
    <w:p>
      <w:pPr>
        <w:pStyle w:val="ListParagraph"/>
        <w:numPr>
          <w:ilvl w:val="0"/>
          <w:numId w:val="1"/>
        </w:numPr>
        <w:spacing w:after="80"/>
      </w:pPr>
      <w:r>
        <w:rPr>
          <w:b w:val="false"/>
          <w:bCs w:val="false"/>
        </w:rPr>
        <w:t xml:space="preserve">Las filas virtuales no son editables ni eliminables directamente; su "Detalle" remite a los datos de la compra de origen.</w:t>
      </w:r>
    </w:p>
    <w:p>
      <w:pPr>
        <w:pStyle w:val="ListParagraph"/>
        <w:numPr>
          <w:ilvl w:val="0"/>
          <w:numId w:val="1"/>
        </w:numPr>
        <w:spacing w:after="80"/>
      </w:pPr>
      <w:r>
        <w:rPr>
          <w:b w:val="false"/>
          <w:bCs w:val="false"/>
        </w:rPr>
        <w:t xml:space="preserve">Si la cuota de un mes ya fue marcada como pagada manualmente, la fila virtual se distingue con un ícono de check (sin atenuar el resto de la fila, por corrección posterior — ver punto 3.2).</w:t>
      </w:r>
    </w:p>
    <w:p>
      <w:pPr>
        <w:pStyle w:val="ListParagraph"/>
        <w:numPr>
          <w:ilvl w:val="0"/>
          <w:numId w:val="1"/>
        </w:numPr>
        <w:spacing w:after="80"/>
      </w:pPr>
      <w:r>
        <w:rPr>
          <w:b w:val="false"/>
          <w:bCs w:val="false"/>
        </w:rPr>
        <w:t xml:space="preserve">Las filas virtuales participan en la búsqueda, el filtro por categoría y el ordenamiento igual que cualquier otra fila.</w:t>
      </w:r>
    </w:p>
    <w:p>
      <w:pPr>
        <w:pStyle w:val="ListParagraph"/>
        <w:numPr>
          <w:ilvl w:val="0"/>
          <w:numId w:val="1"/>
        </w:numPr>
        <w:spacing w:after="80"/>
      </w:pPr>
      <w:r>
        <w:rPr>
          <w:b w:val="false"/>
          <w:bCs w:val="false"/>
        </w:rPr>
        <w:t xml:space="preserve">Sin doble conteo: el monto de cada fila virtual se lee del mismo cálculo que ya alimenta el Disponible del Resumen, no de un cálculo paralelo.</w:t>
      </w:r>
    </w:p>
    <w:p>
      <w:pPr>
        <w:spacing w:after="120"/>
      </w:pPr>
      <w:r>
        <w:rPr>
          <w:b w:val="false"/>
          <w:bCs w:val="false"/>
          <w:i/>
          <w:iCs/>
        </w:rPr>
        <w:t xml:space="preserve">Verificado: el saldo acumulado de la última fila del mes vuelve a coincidir con el Disponible del Resumen incluso en meses posteriores a la compra, cerrando la limitación que había quedado documentada como fuera de alcance en el Día 4.</w:t>
      </w:r>
    </w:p>
    <w:p>
      <w:pPr>
        <w:pStyle w:val="Heading1"/>
        <w:spacing w:after="150" w:before="300"/>
      </w:pPr>
      <w:r>
        <w:t xml:space="preserve">3. Correcciones post-Tanda E</w:t>
      </w:r>
    </w:p>
    <w:p>
      <w:pPr>
        <w:spacing w:after="120"/>
      </w:pPr>
      <w:r>
        <w:rPr>
          <w:b w:val="false"/>
          <w:bCs w:val="false"/>
          <w:i w:val="false"/>
          <w:iCs w:val="false"/>
        </w:rPr>
        <w:t xml:space="preserve">Tras revisar el resultado en dispositivo real, se identificaron y corrigieron cuatro ajustes adicionales sobre lo recién construido:</w:t>
      </w:r>
    </w:p>
    <w:p>
      <w:pPr>
        <w:pStyle w:val="ListParagraph"/>
        <w:numPr>
          <w:ilvl w:val="0"/>
          <w:numId w:val="1"/>
        </w:numPr>
        <w:spacing w:after="80"/>
      </w:pPr>
      <w:r>
        <w:rPr>
          <w:b w:val="false"/>
          <w:bCs w:val="false"/>
        </w:rPr>
        <w:t xml:space="preserve">Filtro embudo: se eliminó el filtro por método de pago (poco útil) y se mantuvo únicamente el ordenamiento.</w:t>
      </w:r>
    </w:p>
    <w:p>
      <w:pPr>
        <w:pStyle w:val="ListParagraph"/>
        <w:numPr>
          <w:ilvl w:val="0"/>
          <w:numId w:val="1"/>
        </w:numPr>
        <w:spacing w:after="80"/>
      </w:pPr>
      <w:r>
        <w:rPr>
          <w:b w:val="false"/>
          <w:bCs w:val="false"/>
        </w:rPr>
        <w:t xml:space="preserve">Carrusel de categorías: pasó de selección única a selección múltiple.</w:t>
      </w:r>
    </w:p>
    <w:p>
      <w:pPr>
        <w:pStyle w:val="ListParagraph"/>
        <w:numPr>
          <w:ilvl w:val="0"/>
          <w:numId w:val="1"/>
        </w:numPr>
        <w:spacing w:after="80"/>
      </w:pPr>
      <w:r>
        <w:rPr>
          <w:b w:val="false"/>
          <w:bCs w:val="false"/>
        </w:rPr>
        <w:t xml:space="preserve">Color de montos: la fila de origen de una compra a cuotas muestra su monto total en color neutro (no rojo), ya que ese monto no es el impacto real del mes; la nota de "cuota este mes" sí se mantiene en rojo.</w:t>
      </w:r>
    </w:p>
    <w:p>
      <w:pPr>
        <w:pStyle w:val="ListParagraph"/>
        <w:numPr>
          <w:ilvl w:val="0"/>
          <w:numId w:val="1"/>
        </w:numPr>
        <w:spacing w:after="80"/>
      </w:pPr>
      <w:r>
        <w:rPr>
          <w:b w:val="false"/>
          <w:bCs w:val="false"/>
        </w:rPr>
        <w:t xml:space="preserve">Bloque de búsqueda oculto en las vistas Barra y Torta del Historial.</w:t>
      </w:r>
    </w:p>
    <w:p>
      <w:pPr>
        <w:pStyle w:val="Heading1"/>
        <w:spacing w:after="150" w:before="300"/>
      </w:pPr>
      <w:r>
        <w:t xml:space="preserve">4. Tanda F — Insights Financieros</w:t>
      </w:r>
    </w:p>
    <w:p>
      <w:pPr>
        <w:spacing w:after="120"/>
      </w:pPr>
      <w:r>
        <w:rPr>
          <w:b w:val="false"/>
          <w:bCs w:val="false"/>
          <w:i w:val="false"/>
          <w:iCs w:val="false"/>
        </w:rPr>
        <w:t xml:space="preserve">Bloque identificado como el de mayor impacto de cara al usuario, por lo que se revisó con mayor profundidad que las tandas anteriores antes de construir, incluyendo dos ideas adicionales propuestas durante la discusión (semáforo de salud financiera y frase resumen del mes).</w:t>
      </w:r>
    </w:p>
    <w:p>
      <w:pPr>
        <w:pStyle w:val="Heading2"/>
        <w:spacing w:after="120" w:before="240"/>
      </w:pPr>
      <w:r>
        <w:t xml:space="preserve">4.1 Semáforo de salud financiera</w:t>
      </w:r>
    </w:p>
    <w:p>
      <w:pPr>
        <w:pStyle w:val="ListParagraph"/>
        <w:numPr>
          <w:ilvl w:val="0"/>
          <w:numId w:val="1"/>
        </w:numPr>
        <w:spacing w:after="80"/>
      </w:pPr>
      <w:r>
        <w:rPr>
          <w:b w:val="false"/>
          <w:bCs w:val="false"/>
        </w:rPr>
        <w:t xml:space="preserve">Indicador discreto en la parte superior del Resumen. Verde / amarillo / rojo según la proyección de fin de mes y las alertas de categoría.</w:t>
      </w:r>
    </w:p>
    <w:p>
      <w:pPr>
        <w:pStyle w:val="ListParagraph"/>
        <w:numPr>
          <w:ilvl w:val="0"/>
          <w:numId w:val="1"/>
        </w:numPr>
        <w:spacing w:after="80"/>
      </w:pPr>
      <w:r>
        <w:rPr>
          <w:b w:val="false"/>
          <w:bCs w:val="false"/>
        </w:rPr>
        <w:t xml:space="preserve">Corrección posterior: se rediseñó como 3 círculos horizontales tipo semáforo (solo uno encendido según el estado, los otros dos atenuados), con aria-label discreto para accesibilidad — reemplazando la versión inicial en texto.</w:t>
      </w:r>
    </w:p>
    <w:p>
      <w:pPr>
        <w:pStyle w:val="Heading2"/>
        <w:spacing w:after="120" w:before="240"/>
      </w:pPr>
      <w:r>
        <w:t xml:space="preserve">4.2 Frase resumen del mes</w:t>
      </w:r>
    </w:p>
    <w:p>
      <w:pPr>
        <w:pStyle w:val="ListParagraph"/>
        <w:numPr>
          <w:ilvl w:val="0"/>
          <w:numId w:val="1"/>
        </w:numPr>
        <w:spacing w:after="80"/>
      </w:pPr>
      <w:r>
        <w:rPr>
          <w:b w:val="false"/>
          <w:bCs w:val="false"/>
        </w:rPr>
        <w:t xml:space="preserve">Una línea de texto generada por reglas (no IA), con prioridad: sobregasto proyectado → categoría con mayor variación → mensaje neutro.</w:t>
      </w:r>
    </w:p>
    <w:p>
      <w:pPr>
        <w:pStyle w:val="Heading2"/>
        <w:spacing w:after="120" w:before="240"/>
      </w:pPr>
      <w:r>
        <w:t xml:space="preserve">4.3 Comparación mes a mes</w:t>
      </w:r>
    </w:p>
    <w:p>
      <w:pPr>
        <w:pStyle w:val="ListParagraph"/>
        <w:numPr>
          <w:ilvl w:val="0"/>
          <w:numId w:val="1"/>
        </w:numPr>
        <w:spacing w:after="80"/>
      </w:pPr>
      <w:r>
        <w:rPr>
          <w:b w:val="false"/>
          <w:bCs w:val="false"/>
        </w:rPr>
        <w:t xml:space="preserve">Ingresos, Gastos, Disponible y Aporte total a Metas: valor actual, valor del mes anterior, variación en porcentaje con color según corresponda a cada métrica.</w:t>
      </w:r>
    </w:p>
    <w:p>
      <w:pPr>
        <w:pStyle w:val="ListParagraph"/>
        <w:numPr>
          <w:ilvl w:val="0"/>
          <w:numId w:val="1"/>
        </w:numPr>
        <w:spacing w:after="80"/>
      </w:pPr>
      <w:r>
        <w:rPr>
          <w:b w:val="false"/>
          <w:bCs w:val="false"/>
        </w:rPr>
        <w:t xml:space="preserve">Mensaje motivacional cuando el aporte a Metas aumentó respecto al mes anterior.</w:t>
      </w:r>
    </w:p>
    <w:p>
      <w:pPr>
        <w:pStyle w:val="ListParagraph"/>
        <w:numPr>
          <w:ilvl w:val="0"/>
          <w:numId w:val="1"/>
        </w:numPr>
        <w:spacing w:after="80"/>
      </w:pPr>
      <w:r>
        <w:rPr>
          <w:b w:val="false"/>
          <w:bCs w:val="false"/>
        </w:rPr>
        <w:t xml:space="preserve">Si no hay datos del mes anterior, se muestra el bloque igual con un mensaje explicativo, en vez de ocultarlo u mostrar valores sin sentido.</w:t>
      </w:r>
    </w:p>
    <w:p>
      <w:pPr>
        <w:pStyle w:val="Heading2"/>
        <w:spacing w:after="120" w:before="240"/>
      </w:pPr>
      <w:r>
        <w:t xml:space="preserve">4.4 Categoría con mayor variación</w:t>
      </w:r>
    </w:p>
    <w:p>
      <w:pPr>
        <w:pStyle w:val="ListParagraph"/>
        <w:numPr>
          <w:ilvl w:val="0"/>
          <w:numId w:val="1"/>
        </w:numPr>
        <w:spacing w:after="80"/>
      </w:pPr>
      <w:r>
        <w:rPr>
          <w:b w:val="false"/>
          <w:bCs w:val="false"/>
        </w:rPr>
        <w:t xml:space="preserve">Se muestra tanto la categoría con mayor aumento como la de mayor disminución respecto al mes anterior, cuando existen.</w:t>
      </w:r>
    </w:p>
    <w:p>
      <w:pPr>
        <w:pStyle w:val="Heading2"/>
        <w:spacing w:after="120" w:before="240"/>
      </w:pPr>
      <w:r>
        <w:t xml:space="preserve">4.5 Proyección de fin de mes</w:t>
      </w:r>
    </w:p>
    <w:p>
      <w:pPr>
        <w:pStyle w:val="ListParagraph"/>
        <w:numPr>
          <w:ilvl w:val="0"/>
          <w:numId w:val="1"/>
        </w:numPr>
        <w:spacing w:after="80"/>
      </w:pPr>
      <w:r>
        <w:rPr>
          <w:b w:val="false"/>
          <w:bCs w:val="false"/>
        </w:rPr>
        <w:t xml:space="preserve">Cálculo en dos partes: fijos y cuotas restantes del mes (montos conocidos con certeza) + gasto variable estimado (promedio diario de gastos no fijos/cuota, extrapolado a los días restantes).</w:t>
      </w:r>
    </w:p>
    <w:p>
      <w:pPr>
        <w:pStyle w:val="ListParagraph"/>
        <w:numPr>
          <w:ilvl w:val="0"/>
          <w:numId w:val="1"/>
        </w:numPr>
        <w:spacing w:after="80"/>
      </w:pPr>
      <w:r>
        <w:rPr>
          <w:b w:val="false"/>
          <w:bCs w:val="false"/>
        </w:rPr>
        <w:t xml:space="preserve">Categorías en alerta: se marcan si crecieron más de 25% respecto al mes anterior, o si representan más de 35% del gasto total del mes — con distinción visual cuando una categoría cumple ambos criterios a la vez.</w:t>
      </w:r>
    </w:p>
    <w:p>
      <w:pPr>
        <w:pStyle w:val="Heading2"/>
        <w:spacing w:after="120" w:before="240"/>
      </w:pPr>
      <w:r>
        <w:t xml:space="preserve">4.6 Racha de cumplimiento de metas</w:t>
      </w:r>
    </w:p>
    <w:p>
      <w:pPr>
        <w:pStyle w:val="ListParagraph"/>
        <w:numPr>
          <w:ilvl w:val="0"/>
          <w:numId w:val="1"/>
        </w:numPr>
        <w:spacing w:after="80"/>
      </w:pPr>
      <w:r>
        <w:rPr>
          <w:b w:val="false"/>
          <w:bCs w:val="false"/>
        </w:rPr>
        <w:t xml:space="preserve">Para metas con aporte automático configurado: cuenta de meses consecutivos con aporte igual o mayor al monto pactado.</w:t>
      </w:r>
    </w:p>
    <w:p>
      <w:pPr>
        <w:pStyle w:val="ListParagraph"/>
        <w:numPr>
          <w:ilvl w:val="0"/>
          <w:numId w:val="1"/>
        </w:numPr>
        <w:spacing w:after="80"/>
      </w:pPr>
      <w:r>
        <w:rPr>
          <w:b w:val="false"/>
          <w:bCs w:val="false"/>
        </w:rPr>
        <w:t xml:space="preserve">Un aporte parcial (menor al pactado) no rompe la racha, pero genera un aviso explícito. No aportar nada sí la rompe.</w:t>
      </w:r>
    </w:p>
    <w:p>
      <w:pPr>
        <w:pStyle w:val="ListParagraph"/>
        <w:numPr>
          <w:ilvl w:val="0"/>
          <w:numId w:val="1"/>
        </w:numPr>
        <w:spacing w:after="80"/>
      </w:pPr>
      <w:r>
        <w:rPr>
          <w:b w:val="false"/>
          <w:bCs w:val="false"/>
        </w:rPr>
        <w:t xml:space="preserve">Metas sin aporte automático no muestran racha; invitan a configurar uno.</w:t>
      </w:r>
    </w:p>
    <w:p>
      <w:pPr>
        <w:pStyle w:val="Heading1"/>
        <w:spacing w:after="150" w:before="300"/>
      </w:pPr>
      <w:r>
        <w:t xml:space="preserve">5. Correcciones finales del día</w:t>
      </w:r>
    </w:p>
    <w:p>
      <w:pPr>
        <w:spacing w:after="120"/>
      </w:pPr>
      <w:r>
        <w:rPr>
          <w:b w:val="false"/>
          <w:bCs w:val="false"/>
          <w:i w:val="false"/>
          <w:iCs w:val="false"/>
        </w:rPr>
        <w:t xml:space="preserve">Última ronda de ajustes tras revisar Insights e Historial en producción:</w:t>
      </w:r>
    </w:p>
    <w:p>
      <w:pPr>
        <w:pStyle w:val="ListParagraph"/>
        <w:numPr>
          <w:ilvl w:val="0"/>
          <w:numId w:val="1"/>
        </w:numPr>
        <w:spacing w:after="80"/>
      </w:pPr>
      <w:r>
        <w:rPr>
          <w:b w:val="false"/>
          <w:bCs w:val="false"/>
        </w:rPr>
        <w:t xml:space="preserve">Semáforo rediseñado como 3 círculos horizontales (ver 4.1).</w:t>
      </w:r>
    </w:p>
    <w:p>
      <w:pPr>
        <w:pStyle w:val="ListParagraph"/>
        <w:numPr>
          <w:ilvl w:val="0"/>
          <w:numId w:val="1"/>
        </w:numPr>
        <w:spacing w:after="80"/>
      </w:pPr>
      <w:r>
        <w:rPr>
          <w:b w:val="false"/>
          <w:bCs w:val="false"/>
        </w:rPr>
        <w:t xml:space="preserve">Historial: unificación de color — todo gasto real (normal, fijo, cuota) en rojo; el blanco/neutro queda reservado solo para la fila de referencia de una compra a crédito, que además se mantiene más opaca que el resto.</w:t>
      </w:r>
    </w:p>
    <w:p>
      <w:pPr>
        <w:pStyle w:val="ListParagraph"/>
        <w:numPr>
          <w:ilvl w:val="0"/>
          <w:numId w:val="1"/>
        </w:numPr>
        <w:spacing w:after="80"/>
      </w:pPr>
      <w:r>
        <w:rPr>
          <w:b w:val="false"/>
          <w:bCs w:val="false"/>
        </w:rPr>
        <w:t xml:space="preserve">Etiqueta de la fila de origen de una compra a cuotas cambiada de "CUOTA" a "CRÉDITO", para distinguirla de las filas virtuales de los meses siguientes (que mantienen "CUOTA", con "SIN PAGAR" cuando corresponde).</w:t>
      </w:r>
    </w:p>
    <w:p>
      <w:pPr>
        <w:pStyle w:val="ListParagraph"/>
        <w:numPr>
          <w:ilvl w:val="0"/>
          <w:numId w:val="1"/>
        </w:numPr>
        <w:spacing w:after="80"/>
      </w:pPr>
      <w:r>
        <w:rPr>
          <w:b w:val="false"/>
          <w:bCs w:val="false"/>
        </w:rPr>
        <w:t xml:space="preserve">Filas virtuales de cuota ya pagadas: se retiró la atenuación visual completa — el ícono de check ya es señal suficiente. Solo las filas sin pagar muestran ahora la etiqueta adicional "SIN PAGAR".</w:t>
      </w:r>
    </w:p>
    <w:p>
      <w:pPr>
        <w:pStyle w:val="Heading1"/>
        <w:spacing w:after="150" w:before="300"/>
      </w:pPr>
      <w:r>
        <w:t xml:space="preserve">6. Bug corregido — metas eliminadas reaparecían en meses pasados</w:t>
      </w:r>
    </w:p>
    <w:p>
      <w:pPr>
        <w:spacing w:after="120"/>
      </w:pPr>
      <w:r>
        <w:rPr>
          <w:b w:val="false"/>
          <w:bCs w:val="false"/>
          <w:i w:val="false"/>
          <w:iCs w:val="false"/>
        </w:rPr>
        <w:t xml:space="preserve">Diagnóstico: la pestaña Metas heredó el mismo criterio usado para gastos fijos (goalNotCutOff), que hace que un elemento eliminado siga siendo visible en los meses anteriores a su eliminación. Ese criterio es correcto para gastos fijos, donde importa la precisión histórica, pero no aplicaba a Metas — una meta de ahorro no depende del mes que se esté navegando.</w:t>
      </w:r>
    </w:p>
    <w:p>
      <w:pPr>
        <w:pStyle w:val="ListParagraph"/>
        <w:numPr>
          <w:ilvl w:val="0"/>
          <w:numId w:val="1"/>
        </w:numPr>
        <w:spacing w:after="80"/>
      </w:pPr>
      <w:r>
        <w:rPr>
          <w:b w:val="false"/>
          <w:bCs w:val="false"/>
        </w:rPr>
        <w:t xml:space="preserve">Se eliminó la dependencia de currentDate en el listado de Metas: la pestaña ahora muestra únicamente las metas activas, sin importar el mes navegado en el resto de la app.</w:t>
      </w:r>
    </w:p>
    <w:p>
      <w:pPr>
        <w:pStyle w:val="ListParagraph"/>
        <w:numPr>
          <w:ilvl w:val="0"/>
          <w:numId w:val="1"/>
        </w:numPr>
        <w:spacing w:after="80"/>
      </w:pPr>
      <w:r>
        <w:rPr>
          <w:b w:val="false"/>
          <w:bCs w:val="false"/>
        </w:rPr>
        <w:t xml:space="preserve">Se eliminó el selector de mes de la pantalla de Metas — cada meta ya muestra su propia fecha de creación y fecha límite, lo cual es suficiente contexto temporal.</w:t>
      </w:r>
    </w:p>
    <w:p>
      <w:pPr>
        <w:pStyle w:val="ListParagraph"/>
        <w:numPr>
          <w:ilvl w:val="0"/>
          <w:numId w:val="1"/>
        </w:numPr>
        <w:spacing w:after="80"/>
      </w:pPr>
      <w:r>
        <w:rPr>
          <w:b w:val="false"/>
          <w:bCs w:val="false"/>
        </w:rPr>
        <w:t xml:space="preserve">Se verificó que los aportes automáticos, la racha y los gráficos existentes en esa pantalla sigan calculando correctamente usando la fecha real de hoy en vez del mes navegado.</w:t>
      </w:r>
    </w:p>
    <w:p>
      <w:pPr>
        <w:pStyle w:val="Heading1"/>
        <w:spacing w:after="150" w:before="300"/>
      </w:pPr>
      <w:r>
        <w:t xml:space="preserve">7. Estado del repositorio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Pr>
          <w:p>
            <w:r>
              <w:rPr>
                <w:b/>
                <w:bCs/>
              </w:rPr>
              <w:t xml:space="preserve">Commit</w:t>
            </w:r>
          </w:p>
        </w:tc>
        <w:tc>
          <w:tcPr>
            <w:tcW w:type="dxa" w:w="6800"/>
            <w:shd w:fill="D9E2F3" w:val="clear"/>
          </w:tcPr>
          <w:p>
            <w:r>
              <w:rPr>
                <w:b/>
                <w:bCs/>
              </w:rPr>
              <w:t xml:space="preserve">Contenido</w:t>
            </w:r>
          </w:p>
        </w:tc>
      </w:tr>
      <w:tr>
        <w:tc>
          <w:tcPr>
            <w:tcW w:type="dxa" w:w="2200"/>
          </w:tcPr>
          <w:p>
            <w:r>
              <w:rPr>
                <w:b w:val="false"/>
                <w:bCs w:val="false"/>
              </w:rPr>
              <w:t xml:space="preserve">(pendiente hash)</w:t>
            </w:r>
          </w:p>
        </w:tc>
        <w:tc>
          <w:tcPr>
            <w:tcW w:type="dxa" w:w="6800"/>
          </w:tcPr>
          <w:p>
            <w:r>
              <w:rPr>
                <w:b w:val="false"/>
                <w:bCs w:val="false"/>
              </w:rPr>
              <w:t xml:space="preserve">Tanda E: búsqueda en Historial (texto + categoría múltiple + ordenamiento), exportar Resumen como imagen PNG, fix espaciado carrusel de montos rápidos</w:t>
            </w:r>
          </w:p>
        </w:tc>
      </w:tr>
      <w:tr>
        <w:tc>
          <w:tcPr>
            <w:tcW w:type="dxa" w:w="2200"/>
          </w:tcPr>
          <w:p>
            <w:r>
              <w:rPr>
                <w:b w:val="false"/>
                <w:bCs w:val="false"/>
              </w:rPr>
              <w:t xml:space="preserve">(pendiente hash)</w:t>
            </w:r>
          </w:p>
        </w:tc>
        <w:tc>
          <w:tcPr>
            <w:tcW w:type="dxa" w:w="6800"/>
          </w:tcPr>
          <w:p>
            <w:r>
              <w:rPr>
                <w:b w:val="false"/>
                <w:bCs w:val="false"/>
              </w:rPr>
              <w:t xml:space="preserve">Fix: filtro embudo revertido a ordenamiento (fecha/monto/nombre); categorías con selección múltiple; color neutro para monto total de compra a crédito</w:t>
            </w:r>
          </w:p>
        </w:tc>
      </w:tr>
      <w:tr>
        <w:tc>
          <w:tcPr>
            <w:tcW w:type="dxa" w:w="2200"/>
          </w:tcPr>
          <w:p>
            <w:r>
              <w:rPr>
                <w:b w:val="false"/>
                <w:bCs w:val="false"/>
              </w:rPr>
              <w:t xml:space="preserve">(pendiente hash)</w:t>
            </w:r>
          </w:p>
        </w:tc>
        <w:tc>
          <w:tcPr>
            <w:tcW w:type="dxa" w:w="6800"/>
          </w:tcPr>
          <w:p>
            <w:r>
              <w:rPr>
                <w:b w:val="false"/>
                <w:bCs w:val="false"/>
              </w:rPr>
              <w:t xml:space="preserve">Fix: bloque de búsqueda/filtro/categorías oculto en vistas Barra y Torta del Historial</w:t>
            </w:r>
          </w:p>
        </w:tc>
      </w:tr>
      <w:tr>
        <w:tc>
          <w:tcPr>
            <w:tcW w:type="dxa" w:w="2200"/>
          </w:tcPr>
          <w:p>
            <w:r>
              <w:rPr>
                <w:b w:val="false"/>
                <w:bCs w:val="false"/>
              </w:rPr>
              <w:t xml:space="preserve">(pendiente hash)</w:t>
            </w:r>
          </w:p>
        </w:tc>
        <w:tc>
          <w:tcPr>
            <w:tcW w:type="dxa" w:w="6800"/>
          </w:tcPr>
          <w:p>
            <w:r>
              <w:rPr>
                <w:b w:val="false"/>
                <w:bCs w:val="false"/>
              </w:rPr>
              <w:t xml:space="preserve">Filas virtuales de cuota: cierre de la salvedad del Día 4 — cuotas de meses posteriores ahora generan fila propia en Historial, sin doble conteo del Disponible</w:t>
            </w:r>
          </w:p>
        </w:tc>
      </w:tr>
      <w:tr>
        <w:tc>
          <w:tcPr>
            <w:tcW w:type="dxa" w:w="2200"/>
          </w:tcPr>
          <w:p>
            <w:r>
              <w:rPr>
                <w:b w:val="false"/>
                <w:bCs w:val="false"/>
              </w:rPr>
              <w:t xml:space="preserve">(pendiente hash)</w:t>
            </w:r>
          </w:p>
        </w:tc>
        <w:tc>
          <w:tcPr>
            <w:tcW w:type="dxa" w:w="6800"/>
          </w:tcPr>
          <w:p>
            <w:r>
              <w:rPr>
                <w:b w:val="false"/>
                <w:bCs w:val="false"/>
              </w:rPr>
              <w:t xml:space="preserve">Tanda F: sección Insights en Resumen (semáforo, frase resumen, comparación mes a mes, categoría con mayor variación, proyección de fin de mes con alertas por categoría) + racha de cumplimiento de metas</w:t>
            </w:r>
          </w:p>
        </w:tc>
      </w:tr>
      <w:tr>
        <w:tc>
          <w:tcPr>
            <w:tcW w:type="dxa" w:w="2200"/>
          </w:tcPr>
          <w:p>
            <w:r>
              <w:rPr>
                <w:b w:val="false"/>
                <w:bCs w:val="false"/>
              </w:rPr>
              <w:t xml:space="preserve">(pendiente hash)</w:t>
            </w:r>
          </w:p>
        </w:tc>
        <w:tc>
          <w:tcPr>
            <w:tcW w:type="dxa" w:w="6800"/>
          </w:tcPr>
          <w:p>
            <w:r>
              <w:rPr>
                <w:b w:val="false"/>
                <w:bCs w:val="false"/>
              </w:rPr>
              <w:t xml:space="preserve">Fix: semáforo como 3 círculos; color rojo/blanco unificado en Historial; etiqueta CRÉDITO en fila de origen de compra a cuotas; eliminado selector de mes en pestaña Metas (bug de metas eliminadas que reaparecían en meses pasados)</w:t>
            </w:r>
          </w:p>
        </w:tc>
      </w:tr>
    </w:tbl>
    <w:p>
      <w:pPr>
        <w:spacing w:after="120"/>
      </w:pPr>
      <w:r>
        <w:rPr>
          <w:b w:val="false"/>
          <w:bCs w:val="false"/>
          <w:i w:val="false"/>
          <w:iCs w:val="false"/>
        </w:rPr>
        <w:t xml:space="preserve"/>
      </w:r>
    </w:p>
    <w:p>
      <w:pPr>
        <w:spacing w:after="120"/>
      </w:pPr>
      <w:r>
        <w:rPr>
          <w:b w:val="false"/>
          <w:bCs w:val="false"/>
          <w:i/>
          <w:iCs/>
        </w:rPr>
        <w:t xml:space="preserve">Nota: varios commits del día quedaron identificados solo por su contenido en esta sesión de chat — al empezar el Día 6, correr git log --oneline -20 para obtener los hashes exactos y actualizar esta tabla si hace falta.</w:t>
      </w:r>
    </w:p>
    <w:p>
      <w:pPr>
        <w:pStyle w:val="Heading1"/>
        <w:spacing w:after="150" w:before="300"/>
      </w:pPr>
      <w:r>
        <w:t xml:space="preserve">8. Próximos pasos — para empezar mañana (Día 6) en un chat nuevo</w:t>
      </w:r>
    </w:p>
    <w:p>
      <w:pPr>
        <w:pStyle w:val="Heading2"/>
        <w:spacing w:after="120" w:before="240"/>
      </w:pPr>
      <w:r>
        <w:t xml:space="preserve">Con Claude</w:t>
      </w:r>
    </w:p>
    <w:p>
      <w:pPr>
        <w:spacing w:after="80"/>
      </w:pPr>
      <w:r>
        <w:t xml:space="preserve">☐  Correr git log --oneline -20 y actualizar la tabla de commits del Día 5 con los hashes reales, si se necesita para referencia.</w:t>
      </w:r>
    </w:p>
    <w:p>
      <w:pPr>
        <w:spacing w:after="80"/>
      </w:pPr>
      <w:r>
        <w:t xml:space="preserve">☐  Definir con cuál tanda seguir: G (estética y microinteracciones) o H (seguridad y respaldo) — ambas quedaron pendientes desde el Día 4.</w:t>
      </w:r>
    </w:p>
    <w:p>
      <w:pPr>
        <w:spacing w:after="80"/>
      </w:pPr>
      <w:r>
        <w:t xml:space="preserve">☐  Si se elige Tanda H (seguridad): planificar con calma antes de ejecutar, ya que toca datos sensibles (PIN local, respaldo a Drive) — no apurarla entre otras tareas, tal como se señaló en el Día 4.</w:t>
      </w:r>
    </w:p>
    <w:p>
      <w:pPr>
        <w:spacing w:after="80"/>
      </w:pPr>
      <w:r>
        <w:t xml:space="preserve">☐  Evaluar si, dado que Insights ya está construido, conviene una revisión de estética general (Tanda G) antes de seguir sumando funcionalidad — la app se está acercando al punto de presentarse a un público de prueba.</w:t>
      </w:r>
    </w:p>
    <w:p>
      <w:pPr>
        <w:spacing w:after="80"/>
      </w:pPr>
      <w:r>
        <w:t xml:space="preserve">☐  Retomar el checklist general de prueba de la Etapa 1 (pendiente desde el Día 4): pruebas en iOS Safari y Android Chrome, performance con 100+ gastos, exportación en celular, restauración desde JSON, modo offline, entre otros.</w:t>
      </w:r>
    </w:p>
    <w:p>
      <w:pPr>
        <w:pStyle w:val="Heading2"/>
        <w:spacing w:after="120" w:before="240"/>
      </w:pPr>
      <w:r>
        <w:t xml:space="preserve">Con Claude Code (nuevo chat, mismo criterio de tandas chicas)</w:t>
      </w:r>
    </w:p>
    <w:p>
      <w:pPr>
        <w:spacing w:after="80"/>
      </w:pPr>
      <w:r>
        <w:t xml:space="preserve">☐  Ninguna tarea nueva de código hasta definir con qué tanda continuar (ver punto anterior).</w:t>
      </w:r>
    </w:p>
    <w:p>
      <w:pPr>
        <w:spacing w:after="80"/>
      </w:pPr>
      <w:r>
        <w:t xml:space="preserve">☐  Recordatorio de flujo ya afiatado: cada tanda termina con git add -A → git commit -m '...' → git push origin main → esperar 1-3 min → verificar en https://srcarlos01.github.io/MisFinanzas/ con Ctrl+F5.</w:t>
      </w:r>
    </w:p>
    <w:p>
      <w:pPr>
        <w:pStyle w:val="Heading2"/>
        <w:spacing w:after="120" w:before="240"/>
      </w:pPr>
      <w:r>
        <w:t xml:space="preserve">Nota de método para el Día 6</w:t>
      </w:r>
    </w:p>
    <w:p>
      <w:pPr>
        <w:spacing w:after="120"/>
      </w:pPr>
      <w:r>
        <w:rPr>
          <w:b w:val="false"/>
          <w:bCs w:val="false"/>
          <w:i/>
          <w:iCs/>
        </w:rPr>
        <w:t xml:space="preserve">El patrón que mejor funcionó el Día 5 fue: presentar la propuesta completa de una tanda, discutirla punto por punto con retroalimentación experta antes de escribir el prompt, y pedir diagnóstico antes de corregir cuando se trata de un bug (en vez de corregir a ciegas). Vale la pena mantener este método en las tandas G y H, especialmente en H por el nivel de sensibilidad de los datos que toca.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2026-09-01T03:00:10.363Z</dcterms:created>
  <dcterms:modified xsi:type="dcterms:W3CDTF">2026-09-01T03:00:10.376Z</dcterms:modified>
</cp:coreProperties>
</file>

<file path=docProps/custom.xml><?xml version="1.0" encoding="utf-8"?>
<Properties xmlns="http://schemas.openxmlformats.org/officeDocument/2006/custom-properties" xmlns:vt="http://schemas.openxmlformats.org/officeDocument/2006/docPropsVTypes"/>
</file>