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44"/>
          <w:szCs w:val="44"/>
        </w:rPr>
        <w:t xml:space="preserve">MisFinanzas</w:t>
      </w:r>
    </w:p>
    <w:p>
      <w:pPr>
        <w:spacing w:after="300"/>
      </w:pPr>
      <w:r>
        <w:rPr>
          <w:i/>
          <w:iCs/>
          <w:sz w:val="24"/>
          <w:szCs w:val="24"/>
        </w:rPr>
        <w:t xml:space="preserve">Resumen del día — 1 de septiembre de 2026 (Día 6 del Plan de Acción)</w:t>
      </w:r>
    </w:p>
    <w:p>
      <w:pPr>
        <w:pStyle w:val="Heading1"/>
        <w:spacing w:after="160" w:before="360"/>
      </w:pPr>
      <w:r>
        <w:t xml:space="preserve">1. Contexto de la sesión</w:t>
      </w:r>
    </w:p>
    <w:p>
      <w:pPr>
        <w:spacing w:after="120"/>
      </w:pPr>
      <w:r>
        <w:t xml:space="preserve">El Día 6 fue el más largo del plan hasta ahora: se retomó el trabajo con las tandas G y H que habían quedado pendientes desde el Día 5, y a partir de ahí la sesión se extendió con varias rondas de corrección sobre datos reales — la app dejó de ser un ejercicio de construcción y pasó a usarse en producción, con la migración real de la cuenta de la novia del usuario desde una versión alfa anterior. Eso expuso varios problemas que solo aparecen con datos reales (un respaldo de otra versión de la app, un saldo acumulado desde meses sin registro, cuotas vencidas sin confirmar) y que no se habían visto en las pruebas con datos de ejemplo.</w:t>
      </w:r>
    </w:p>
    <w:p>
      <w:pPr>
        <w:spacing w:after="120"/>
      </w:pPr>
      <w:r>
        <w:t xml:space="preserve">Se mantuvo el método del Día 5 — discutir cada tanda punto por punto antes de generar el prompt de ejecución — y se reforzó con un principio nuevo, necesario después de dos bugs que aparecieron en la zona de Disponible/Cuotas: diagnosticar con evidencia real (capturas, respaldos, números concretos) antes de proponer una corrección, en vez de que Claude Code adivine la causa.</w:t>
      </w:r>
    </w:p>
    <w:p>
      <w:pPr>
        <w:pStyle w:val="Heading1"/>
        <w:spacing w:after="160" w:before="360"/>
      </w:pPr>
      <w:r>
        <w:t xml:space="preserve">2. Tandas ejecutadas</w:t>
      </w:r>
    </w:p>
    <w:p>
      <w:pPr>
        <w:pStyle w:val="Heading2"/>
        <w:spacing w:after="120" w:before="280"/>
      </w:pPr>
      <w:r>
        <w:t xml:space="preserve">2.1 Tanda G — Estética y microinteracciones</w:t>
      </w:r>
    </w:p>
    <w:p>
      <w:pPr>
        <w:spacing w:after="120"/>
      </w:pPr>
      <w:r>
        <w:t xml:space="preserve">Alcance ampliado a pedido del usuario: se sumaron varias animaciones adicionales a las 3 originales del plan (contadores animados en los totales del Resumen, transición de color en el semáforo, barra de progreso de metas animada, racha con "pop", transición entre pestañas, toast/snackbar propio reemplazando los alert() nativos, filas nuevas con slide-in en Historial), todas respetando prefers-reduced-motion.</w:t>
      </w:r>
    </w:p>
    <w:p>
      <w:pPr>
        <w:pStyle w:val="ListParagraph"/>
        <w:numPr>
          <w:ilvl w:val="0"/>
          <w:numId w:val="1"/>
        </w:numPr>
        <w:spacing w:after="80"/>
      </w:pPr>
      <w:r>
        <w:t xml:space="preserve">Revisión de iconografía y de tipografía/espaciado: se pidió reportar inconsistencias antes de corregir masivamente, sin cambios sin mostrar primero qué se encontró.</w:t>
      </w:r>
    </w:p>
    <w:p>
      <w:pPr>
        <w:pStyle w:val="ListParagraph"/>
        <w:numPr>
          <w:ilvl w:val="0"/>
          <w:numId w:val="1"/>
        </w:numPr>
        <w:spacing w:after="80"/>
      </w:pPr>
      <w:r>
        <w:t xml:space="preserve">PWA: el proyecto no tenía manifest.json — se agregó desde cero (nombre, ícono, theme_color, background_color, display: standalone) más apple-touch-icon para iOS.</w:t>
      </w:r>
    </w:p>
    <w:p>
      <w:pPr>
        <w:pStyle w:val="Heading2"/>
        <w:spacing w:after="120" w:before="280"/>
      </w:pPr>
      <w:r>
        <w:t xml:space="preserve">2.2 Tanda H — Seguridad y respaldo</w:t>
      </w:r>
    </w:p>
    <w:p>
      <w:pPr>
        <w:pStyle w:val="ListParagraph"/>
        <w:numPr>
          <w:ilvl w:val="0"/>
          <w:numId w:val="1"/>
        </w:numPr>
        <w:spacing w:after="80"/>
      </w:pPr>
      <w:r>
        <w:t xml:space="preserve">Bloqueo con PIN de 4 dígitos, hash con crypto.subtle (SHA-256), solicitado al abrir la app y al volver de segundo plano, con "Olvidé mi PIN" explicando qué se pierde (el PIN) y qué no (los datos).</w:t>
      </w:r>
    </w:p>
    <w:p>
      <w:pPr>
        <w:pStyle w:val="ListParagraph"/>
        <w:numPr>
          <w:ilvl w:val="0"/>
          <w:numId w:val="1"/>
        </w:numPr>
        <w:spacing w:after="80"/>
      </w:pPr>
      <w:r>
        <w:t xml:space="preserve">Se descartó la integración real con Google Drive por requerir OAuth y una librería externa (rompía la regla de "sin librerías" del proyecto); se optó por la Web Share API nativa, sin configuración externa.</w:t>
      </w:r>
    </w:p>
    <w:p>
      <w:pPr>
        <w:pStyle w:val="ListParagraph"/>
        <w:numPr>
          <w:ilvl w:val="0"/>
          <w:numId w:val="1"/>
        </w:numPr>
        <w:spacing w:after="80"/>
      </w:pPr>
      <w:r>
        <w:t xml:space="preserve">Respaldo reforzado: tarjeta previa con resumen del contenido antes de compartir, conteo de registros del respaldo vs. datos actuales antes de restaurar, y validación de integridad más estricta al leer el archivo.</w:t>
      </w:r>
    </w:p>
    <w:p>
      <w:pPr>
        <w:pStyle w:val="ListParagraph"/>
        <w:numPr>
          <w:ilvl w:val="0"/>
          <w:numId w:val="1"/>
        </w:numPr>
        <w:spacing w:after="80"/>
      </w:pPr>
      <w:r>
        <w:t xml:space="preserve">Modo solo lectura: bloquea edición (agregar/editar/eliminar) sin afectar la navegación.</w:t>
      </w:r>
    </w:p>
    <w:p>
      <w:pPr>
        <w:pStyle w:val="Heading2"/>
        <w:spacing w:after="120" w:before="280"/>
      </w:pPr>
      <w:r>
        <w:t xml:space="preserve">2.3 Corrección Tanda I — Bugs, mejoras UX y Disponible dual</w:t>
      </w:r>
    </w:p>
    <w:p>
      <w:pPr>
        <w:spacing w:after="120"/>
      </w:pPr>
      <w:r>
        <w:t xml:space="preserve">La tanda de mayor alcance del día, con dos bugs reales diagnosticados en dispositivo antes de corregir:</w:t>
      </w:r>
    </w:p>
    <w:p>
      <w:pPr>
        <w:pStyle w:val="ListParagraph"/>
        <w:numPr>
          <w:ilvl w:val="0"/>
          <w:numId w:val="1"/>
        </w:numPr>
        <w:spacing w:after="80"/>
      </w:pPr>
      <w:r>
        <w:t xml:space="preserve">Sheet de "Nuevo gasto" pegado contra la barra de estado en contenido largo: causa real fue vh de iOS Safari midiéndose contra el viewport grande; se resolvió exponiendo el alto visible real vía JS (--app-vh).</w:t>
      </w:r>
    </w:p>
    <w:p>
      <w:pPr>
        <w:pStyle w:val="ListParagraph"/>
        <w:numPr>
          <w:ilvl w:val="0"/>
          <w:numId w:val="1"/>
        </w:numPr>
        <w:spacing w:after="80"/>
      </w:pPr>
      <w:r>
        <w:t xml:space="preserve">PIN con toques rápidos desplazaba el punto de toque en toda la app: causa real fue que las teclas del PIN tomaban foco, y en iOS eso desplaza el viewport visual sin revertirse solo; se aplicó preventDefault en las teclas y reset de scroll al cerrar (corrección que resultó insuficiente — ver Tanda K).</w:t>
      </w:r>
    </w:p>
    <w:p>
      <w:pPr>
        <w:pStyle w:val="ListParagraph"/>
        <w:numPr>
          <w:ilvl w:val="0"/>
          <w:numId w:val="1"/>
        </w:numPr>
        <w:spacing w:after="80"/>
      </w:pPr>
      <w:r>
        <w:t xml:space="preserve">Botón "Compartir" (Web Share API) agregado a "Resumen como imagen" y "Exportar a Excel", con el mismo patrón de la Tanda H.</w:t>
      </w:r>
    </w:p>
    <w:p>
      <w:pPr>
        <w:pStyle w:val="ListParagraph"/>
        <w:numPr>
          <w:ilvl w:val="0"/>
          <w:numId w:val="1"/>
        </w:numPr>
        <w:spacing w:after="80"/>
      </w:pPr>
      <w:r>
        <w:t xml:space="preserve">Categorías frecuentes convertidas a carrusel horizontal, mismas dimensiones que el carrusel de montos rápidos.</w:t>
      </w:r>
    </w:p>
    <w:p>
      <w:pPr>
        <w:pStyle w:val="ListParagraph"/>
        <w:numPr>
          <w:ilvl w:val="0"/>
          <w:numId w:val="1"/>
        </w:numPr>
        <w:spacing w:after="80"/>
      </w:pPr>
      <w:r>
        <w:t xml:space="preserve">Disponible dual: se agregó una cifra principal ("Disponible") que solo descuenta cuotas ya pagadas, dejando la cifra ya probada ("Con cuotas pendientes") intacta como referencia secundaria — verificado que ambas coinciden cuando no hay cuotas pendientes, y que la segunda desaparece en meses sin cuotas activas.</w:t>
      </w:r>
    </w:p>
    <w:p>
      <w:pPr>
        <w:pStyle w:val="ListParagraph"/>
        <w:numPr>
          <w:ilvl w:val="0"/>
          <w:numId w:val="1"/>
        </w:numPr>
        <w:spacing w:after="80"/>
      </w:pPr>
      <w:r>
        <w:t xml:space="preserve">Colores por tipo de movimiento: ingresos verde, gastos rojo, cuotas naranjo, aportes a metas amarillo, aplicados en Historial, Resumen e Insights, sin tocar la paleta de categorías.</w:t>
      </w:r>
    </w:p>
    <w:p>
      <w:pPr>
        <w:pStyle w:val="Heading2"/>
        <w:spacing w:after="120" w:before="280"/>
      </w:pPr>
      <w:r>
        <w:t xml:space="preserve">2.4 Tanda K — Eliminación del PIN y compatibilidad de respaldos antiguos</w:t>
      </w:r>
    </w:p>
    <w:p>
      <w:pPr>
        <w:spacing w:after="120"/>
      </w:pPr>
      <w:r>
        <w:t xml:space="preserve">Motivada por dos problemas de producción detectados el mismo día: el bug del PIN seguía sin resolverse del todo, y el respaldo de la novia del usuario (exportado desde una versión alfa anterior, sin el campo "tipo" en ingresos ni la sección "goals") era rechazado al restaurar.</w:t>
      </w:r>
    </w:p>
    <w:p>
      <w:pPr>
        <w:pStyle w:val="ListParagraph"/>
        <w:numPr>
          <w:ilvl w:val="0"/>
          <w:numId w:val="1"/>
        </w:numPr>
        <w:spacing w:after="80"/>
      </w:pPr>
      <w:r>
        <w:t xml:space="preserve">Se eliminó el bloqueo con PIN por completo (UI, lógica, hash guardado, listener de segundo plano) en vez de seguir parchándolo — se deja pendiente evaluar en el futuro, posiblemente junto con un login con cuenta de Google.</w:t>
      </w:r>
    </w:p>
    <w:p>
      <w:pPr>
        <w:pStyle w:val="ListParagraph"/>
        <w:numPr>
          <w:ilvl w:val="0"/>
          <w:numId w:val="1"/>
        </w:numPr>
        <w:spacing w:after="80"/>
      </w:pPr>
      <w:r>
        <w:t xml:space="preserve">La restauración de respaldos pasó de rechazar archivos con campos/secciones faltantes a migrarlos con valores por defecto razonables (ingreso sin "tipo" → Casual; sin "goals" → lista vacía; config incompleta → se completa con los valores actuales), diseñado de forma general para absorber futuros cambios de esquema.</w:t>
      </w:r>
    </w:p>
    <w:p>
      <w:pPr>
        <w:pStyle w:val="ListParagraph"/>
        <w:numPr>
          <w:ilvl w:val="0"/>
          <w:numId w:val="1"/>
        </w:numPr>
        <w:spacing w:after="80"/>
      </w:pPr>
      <w:r>
        <w:t xml:space="preserve">Validado con el respaldo real de la versión alfa: 42 gastos, 14 ingresos y 14 deudas migrados sin pérdida ni de un registro ni de un peso.</w:t>
      </w:r>
    </w:p>
    <w:p>
      <w:pPr>
        <w:pStyle w:val="Heading2"/>
        <w:spacing w:after="120" w:before="280"/>
      </w:pPr>
      <w:r>
        <w:t xml:space="preserve">2.5 Tanda L — Mes de inicio de registro y ajustes de Historial</w:t>
      </w:r>
    </w:p>
    <w:p>
      <w:pPr>
        <w:spacing w:after="120"/>
      </w:pPr>
      <w:r>
        <w:t xml:space="preserve">Motivada por el mismo caso real: la novia del usuario empezó a registrar en agosto, pero tenía una compra a cuotas con origen en junio, lo que arrastraba saldo negativo de meses donde nunca se registraron ingresos.</w:t>
      </w:r>
    </w:p>
    <w:p>
      <w:pPr>
        <w:pStyle w:val="ListParagraph"/>
        <w:numPr>
          <w:ilvl w:val="0"/>
          <w:numId w:val="1"/>
        </w:numPr>
        <w:spacing w:after="80"/>
      </w:pPr>
      <w:r>
        <w:t xml:space="preserve">Nueva opción "Mes de inicio de registro" en Configuración: por defecto sin definir (cero cambio de comportamiento); cuando se define, resetea el "Saldo mes anterior" a $0 exactamente en ese mes, sin ocultar ni alterar los meses anteriores, que se siguen viendo con un aviso discreto.</w:t>
      </w:r>
    </w:p>
    <w:p>
      <w:pPr>
        <w:pStyle w:val="ListParagraph"/>
        <w:numPr>
          <w:ilvl w:val="0"/>
          <w:numId w:val="1"/>
        </w:numPr>
        <w:spacing w:after="80"/>
      </w:pPr>
      <w:r>
        <w:t xml:space="preserve">Filtro Cuotas / Gastos normales en Historial, combinable con la búsqueda de texto, el filtro de categoría y el ordenamiento ya existentes.</w:t>
      </w:r>
    </w:p>
    <w:p>
      <w:pPr>
        <w:pStyle w:val="ListParagraph"/>
        <w:numPr>
          <w:ilvl w:val="0"/>
          <w:numId w:val="1"/>
        </w:numPr>
        <w:spacing w:after="80"/>
      </w:pPr>
      <w:r>
        <w:t xml:space="preserve">Resumen de totales del mes (Ingresos/Gastos/Disponible) agregado en Historial, debajo del selector de mes — se aprovechó para que Resumen y Historial usen la misma función de cálculo, sin duplicar lógica.</w:t>
      </w:r>
    </w:p>
    <w:p>
      <w:pPr>
        <w:pStyle w:val="Heading1"/>
        <w:spacing w:after="160" w:before="360"/>
      </w:pPr>
      <w:r>
        <w:t xml:space="preserve">3. Bug detectado — pendiente de corrección para el Día 7</w:t>
      </w:r>
    </w:p>
    <w:p>
      <w:pPr>
        <w:spacing w:after="120"/>
      </w:pPr>
      <w:r>
        <w:t xml:space="preserve">Con datos reales de septiembre, el Disponible mostró –$4.246 de forma inconsistente con lo que la novia del usuario había pagado de verdad. Diagnóstico: el supuesto "cuota vencida = probablemente pagada", pensado en la Tanda I/J únicamente para el cálculo del Disponible principal, se filtró también al estado real que muestra la pestaña Pagadas de Cuotas — mostrando cuotas como confirmadas ("Cuota 3 de 3, Saldo restante $0") sin que nadie las hubiera marcado a mano.</w:t>
      </w:r>
    </w:p>
    <w:p>
      <w:pPr>
        <w:spacing w:after="120"/>
      </w:pPr>
      <w:r>
        <w:t xml:space="preserve">Se diseñó la corrección (Tanda M) pero no se llegó a ejecutar en el Día 6. Queda lista para el Día 7:</w:t>
      </w:r>
    </w:p>
    <w:p>
      <w:pPr>
        <w:pStyle w:val="ListParagraph"/>
        <w:numPr>
          <w:ilvl w:val="0"/>
          <w:numId w:val="1"/>
        </w:numPr>
        <w:spacing w:after="80"/>
      </w:pPr>
      <w:r>
        <w:t xml:space="preserve">Separar el estado real de Cuotas (Activas/Pagadas) de la asunción de cálculo del Disponible: solo la confirmación manual cuenta como "Pagada"; una cuota vencida sin confirmar se muestra en Pagadas con una etiqueta "Sin confirmar", en vez de aparecer como pagada de verdad.</w:t>
      </w:r>
    </w:p>
    <w:p>
      <w:pPr>
        <w:pStyle w:val="ListParagraph"/>
        <w:numPr>
          <w:ilvl w:val="0"/>
          <w:numId w:val="1"/>
        </w:numPr>
        <w:spacing w:after="80"/>
      </w:pPr>
      <w:r>
        <w:t xml:space="preserve">Toggle universal para revertir cualquier cuota de Pagada a Activa, sin restricciones.</w:t>
      </w:r>
    </w:p>
    <w:p>
      <w:pPr>
        <w:pStyle w:val="ListParagraph"/>
        <w:numPr>
          <w:ilvl w:val="0"/>
          <w:numId w:val="1"/>
        </w:numPr>
        <w:spacing w:after="80"/>
      </w:pPr>
      <w:r>
        <w:t xml:space="preserve">Historial: los totales agregados en la Tanda L pasan a depender de la pestaña de filtro activa (solo Total gasto en la pestaña Gastos, solo Total ingresos en Ingresos, ambos en Todo) y se reubican junto a los botones "Detalle"/"Lista".</w:t>
      </w:r>
    </w:p>
    <w:p>
      <w:pPr>
        <w:pStyle w:val="ListParagraph"/>
        <w:numPr>
          <w:ilvl w:val="0"/>
          <w:numId w:val="1"/>
        </w:numPr>
        <w:spacing w:after="80"/>
      </w:pPr>
      <w:r>
        <w:t xml:space="preserve">Nuevo campo "Nombre" en los formularios de gasto e ingreso (además de la Descripción existente, que pasa a mostrarse solo en el Detalle): Historial pasa a mostrar el Nombre como etiqueta principal. Se verificó contra el respaldo real más reciente (48 gastos, 14 ingresos, sin descripciones vacías) que la migración automática (Nombre = Descripción existente) no deja ningún registro sin nombre.</w:t>
      </w:r>
    </w:p>
    <w:p>
      <w:pPr>
        <w:pStyle w:val="Heading1"/>
        <w:spacing w:after="160" w:before="360"/>
      </w:pPr>
      <w:r>
        <w:t xml:space="preserve">4. Decisiones y notas de método</w:t>
      </w:r>
    </w:p>
    <w:p>
      <w:pPr>
        <w:pStyle w:val="ListParagraph"/>
        <w:numPr>
          <w:ilvl w:val="0"/>
          <w:numId w:val="1"/>
        </w:numPr>
        <w:spacing w:after="100"/>
      </w:pPr>
      <w:r>
        <w:rPr>
          <w:b/>
          <w:bCs/>
        </w:rPr>
        <w:t xml:space="preserve">Separar cálculo de estado real: </w:t>
      </w:r>
      <w:r>
        <w:t xml:space="preserve">cuando una cifra calculada (como el Disponible) usa un supuesto — "vencida, así que probablemente pagada" — ese supuesto no debe filtrarse como si fuera un hecho confirmado en otra parte de la app (como la pestaña Cuotas). Es la lección central del bug del Día 6 y vale la pena tenerla presente en cualquier cambio futuro que toque el Disponible.</w:t>
      </w:r>
    </w:p>
    <w:p>
      <w:pPr>
        <w:pStyle w:val="ListParagraph"/>
        <w:numPr>
          <w:ilvl w:val="0"/>
          <w:numId w:val="1"/>
        </w:numPr>
        <w:spacing w:after="100"/>
      </w:pPr>
      <w:r>
        <w:rPr>
          <w:b/>
          <w:bCs/>
        </w:rPr>
        <w:t xml:space="preserve">Diagnosticar con evidencia real antes de proponer un fix: </w:t>
      </w:r>
      <w:r>
        <w:t xml:space="preserve">en los dos bugs de la Corrección Tanda I (el sheet cortado y el PIN que desplazaba el touch) y en el del –$4.246, la corrección correcta solo apareció después de comparar capturas/datos reales, no adivinando la causa de entrada.</w:t>
      </w:r>
    </w:p>
    <w:p>
      <w:pPr>
        <w:pStyle w:val="ListParagraph"/>
        <w:numPr>
          <w:ilvl w:val="0"/>
          <w:numId w:val="1"/>
        </w:numPr>
        <w:spacing w:after="100"/>
      </w:pPr>
      <w:r>
        <w:rPr>
          <w:b/>
          <w:bCs/>
        </w:rPr>
        <w:t xml:space="preserve">Verificar migraciones contra un respaldo real antes de aplicarlas: </w:t>
      </w:r>
      <w:r>
        <w:t xml:space="preserve">se hizo tanto para la tolerancia de restauración (Tanda K, con el respaldo alfa) como para el campo Nombre (Tanda M, con el respaldo más reciente) — evita sorpresas de datos faltantes en producción.</w:t>
      </w:r>
    </w:p>
    <w:p>
      <w:pPr>
        <w:pStyle w:val="ListParagraph"/>
        <w:numPr>
          <w:ilvl w:val="0"/>
          <w:numId w:val="1"/>
        </w:numPr>
        <w:spacing w:after="100"/>
      </w:pPr>
      <w:r>
        <w:rPr>
          <w:b/>
          <w:bCs/>
        </w:rPr>
        <w:t xml:space="preserve">Sin librerías externas se mantiene incluso cuando tienta lo contrario: </w:t>
      </w:r>
      <w:r>
        <w:t xml:space="preserve">se descartó la integración real con Google Drive (Tanda H) precisamente porque hubiera requerido una librería de Google, priorizando la Web Share API nativa.</w:t>
      </w:r>
    </w:p>
    <w:p>
      <w:pPr>
        <w:pStyle w:val="Heading1"/>
        <w:spacing w:after="160" w:before="360"/>
      </w:pPr>
      <w:r>
        <w:t xml:space="preserve">5. Estado del repositorio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D9D2C5" w:val="clear"/>
            <w:tcMar>
              <w:top w:type="dxa" w:w="100"/>
              <w:left w:type="dxa" w:w="120"/>
              <w:bottom w:type="dxa" w:w="100"/>
              <w:right w:type="dxa" w:w="120"/>
            </w:tcMar>
          </w:tcPr>
          <w:p>
            <w:r>
              <w:rPr>
                <w:b/>
                <w:bCs/>
              </w:rPr>
              <w:t xml:space="preserve">Commit</w:t>
            </w:r>
          </w:p>
        </w:tc>
        <w:tc>
          <w:tcPr>
            <w:tcW w:type="dxa" w:w="6000"/>
            <w:shd w:fill="D9D2C5" w:val="clear"/>
            <w:tcMar>
              <w:top w:type="dxa" w:w="100"/>
              <w:left w:type="dxa" w:w="120"/>
              <w:bottom w:type="dxa" w:w="100"/>
              <w:right w:type="dxa" w:w="120"/>
            </w:tcMar>
          </w:tcPr>
          <w:p>
            <w:r>
              <w:rPr>
                <w:b/>
                <w:bCs/>
              </w:rPr>
              <w:t xml:space="preserve">Contenido</w:t>
            </w:r>
          </w:p>
        </w:tc>
      </w:tr>
      <w:tr>
        <w:trPr>
          <w:tblHeader w:val="false"/>
        </w:trPr>
        <w:tc>
          <w:tcPr>
            <w:tcW w:type="dxa" w:w="3200"/>
            <w:tcMar>
              <w:top w:type="dxa" w:w="100"/>
              <w:left w:type="dxa" w:w="120"/>
              <w:bottom w:type="dxa" w:w="100"/>
              <w:right w:type="dxa" w:w="120"/>
            </w:tcMar>
          </w:tcPr>
          <w:p>
            <w:r>
              <w:rPr>
                <w:b w:val="false"/>
                <w:bCs w:val="false"/>
              </w:rPr>
              <w:t xml:space="preserve">(pendiente hash)</w:t>
            </w:r>
          </w:p>
        </w:tc>
        <w:tc>
          <w:tcPr>
            <w:tcW w:type="dxa" w:w="6000"/>
            <w:tcMar>
              <w:top w:type="dxa" w:w="100"/>
              <w:left w:type="dxa" w:w="120"/>
              <w:bottom w:type="dxa" w:w="100"/>
              <w:right w:type="dxa" w:w="120"/>
            </w:tcMar>
          </w:tcPr>
          <w:p>
            <w:r>
              <w:rPr>
                <w:b w:val="false"/>
                <w:bCs w:val="false"/>
              </w:rPr>
              <w:t xml:space="preserve">Tanda G: micro-animaciones al guardar/eliminar/completar meta, revisión y ajustes de iconografía, manifest.json + splash/ícono PWA</w:t>
            </w:r>
          </w:p>
        </w:tc>
      </w:tr>
      <w:tr>
        <w:trPr>
          <w:tblHeader w:val="false"/>
        </w:trPr>
        <w:tc>
          <w:tcPr>
            <w:tcW w:type="dxa" w:w="3200"/>
            <w:tcMar>
              <w:top w:type="dxa" w:w="100"/>
              <w:left w:type="dxa" w:w="120"/>
              <w:bottom w:type="dxa" w:w="100"/>
              <w:right w:type="dxa" w:w="120"/>
            </w:tcMar>
          </w:tcPr>
          <w:p>
            <w:r>
              <w:rPr>
                <w:b w:val="false"/>
                <w:bCs w:val="false"/>
              </w:rPr>
              <w:t xml:space="preserve">(pendiente hash)</w:t>
            </w:r>
          </w:p>
        </w:tc>
        <w:tc>
          <w:tcPr>
            <w:tcW w:type="dxa" w:w="6000"/>
            <w:tcMar>
              <w:top w:type="dxa" w:w="100"/>
              <w:left w:type="dxa" w:w="120"/>
              <w:bottom w:type="dxa" w:w="100"/>
              <w:right w:type="dxa" w:w="120"/>
            </w:tcMar>
          </w:tcPr>
          <w:p>
            <w:r>
              <w:rPr>
                <w:b w:val="false"/>
                <w:bCs w:val="false"/>
              </w:rPr>
              <w:t xml:space="preserve">Tanda H: bloqueo con PIN (4 dígitos, hash SHA-256), respaldo reforzado (cobertura completa + confirmación con conteo de registros), modo solo lectura</w:t>
            </w:r>
          </w:p>
        </w:tc>
      </w:tr>
      <w:tr>
        <w:trPr>
          <w:tblHeader w:val="false"/>
        </w:trPr>
        <w:tc>
          <w:tcPr>
            <w:tcW w:type="dxa" w:w="3200"/>
            <w:tcMar>
              <w:top w:type="dxa" w:w="100"/>
              <w:left w:type="dxa" w:w="120"/>
              <w:bottom w:type="dxa" w:w="100"/>
              <w:right w:type="dxa" w:w="120"/>
            </w:tcMar>
          </w:tcPr>
          <w:p>
            <w:r>
              <w:rPr>
                <w:b w:val="false"/>
                <w:bCs w:val="false"/>
              </w:rPr>
              <w:t xml:space="preserve">68386ce</w:t>
            </w:r>
          </w:p>
        </w:tc>
        <w:tc>
          <w:tcPr>
            <w:tcW w:type="dxa" w:w="6000"/>
            <w:tcMar>
              <w:top w:type="dxa" w:w="100"/>
              <w:left w:type="dxa" w:w="120"/>
              <w:bottom w:type="dxa" w:w="100"/>
              <w:right w:type="dxa" w:w="120"/>
            </w:tcMar>
          </w:tcPr>
          <w:p>
            <w:r>
              <w:rPr>
                <w:b w:val="false"/>
                <w:bCs w:val="false"/>
              </w:rPr>
              <w:t xml:space="preserve">Corrección Tanda I: acordeón de descripciones en Configuración; fix diagnosticado del sheet "Nuevo gasto" cortado arriba (--app-vh); fix diagnosticado del PIN que desplazaba el touch (preventDefault en teclas + reset de scroll); botón Compartir en Resumen-imagen y Exportar Excel; categorías frecuentes como carrusel; animación de progreso en Cuotas; Disponible dual (con/sin cuotas pendientes); colores por tipo de movimiento (verde/rojo/naranjo/amarillo)</w:t>
            </w:r>
          </w:p>
        </w:tc>
      </w:tr>
      <w:tr>
        <w:trPr>
          <w:tblHeader w:val="false"/>
        </w:trPr>
        <w:tc>
          <w:tcPr>
            <w:tcW w:type="dxa" w:w="3200"/>
            <w:tcMar>
              <w:top w:type="dxa" w:w="100"/>
              <w:left w:type="dxa" w:w="120"/>
              <w:bottom w:type="dxa" w:w="100"/>
              <w:right w:type="dxa" w:w="120"/>
            </w:tcMar>
          </w:tcPr>
          <w:p>
            <w:r>
              <w:rPr>
                <w:b w:val="false"/>
                <w:bCs w:val="false"/>
              </w:rPr>
              <w:t xml:space="preserve">e0fda6a</w:t>
            </w:r>
          </w:p>
        </w:tc>
        <w:tc>
          <w:tcPr>
            <w:tcW w:type="dxa" w:w="6000"/>
            <w:tcMar>
              <w:top w:type="dxa" w:w="100"/>
              <w:left w:type="dxa" w:w="120"/>
              <w:bottom w:type="dxa" w:w="100"/>
              <w:right w:type="dxa" w:w="120"/>
            </w:tcMar>
          </w:tcPr>
          <w:p>
            <w:r>
              <w:rPr>
                <w:b w:val="false"/>
                <w:bCs w:val="false"/>
              </w:rPr>
              <w:t xml:space="preserve">Tanda K: eliminación completa del bloqueo con PIN (el fix de la Tanda anterior no fue suficiente); restauración de respaldos tolerante a esquemas antiguos (migración con valores por defecto en vez de rechazar el archivo) — validado con el respaldo real de la versión alfa, 42 gastos y 14 ingresos migrados sin pérdida</w:t>
            </w:r>
          </w:p>
        </w:tc>
      </w:tr>
      <w:tr>
        <w:trPr>
          <w:tblHeader w:val="false"/>
        </w:trPr>
        <w:tc>
          <w:tcPr>
            <w:tcW w:type="dxa" w:w="3200"/>
            <w:tcMar>
              <w:top w:type="dxa" w:w="100"/>
              <w:left w:type="dxa" w:w="120"/>
              <w:bottom w:type="dxa" w:w="100"/>
              <w:right w:type="dxa" w:w="120"/>
            </w:tcMar>
          </w:tcPr>
          <w:p>
            <w:r>
              <w:rPr>
                <w:b w:val="false"/>
                <w:bCs w:val="false"/>
              </w:rPr>
              <w:t xml:space="preserve">(pendiente hash)</w:t>
            </w:r>
          </w:p>
        </w:tc>
        <w:tc>
          <w:tcPr>
            <w:tcW w:type="dxa" w:w="6000"/>
            <w:tcMar>
              <w:top w:type="dxa" w:w="100"/>
              <w:left w:type="dxa" w:w="120"/>
              <w:bottom w:type="dxa" w:w="100"/>
              <w:right w:type="dxa" w:w="120"/>
            </w:tcMar>
          </w:tcPr>
          <w:p>
            <w:r>
              <w:rPr>
                <w:b w:val="false"/>
                <w:bCs w:val="false"/>
              </w:rPr>
              <w:t xml:space="preserve">Tanda L: "Mes de inicio de registro" configurable (resetea el saldo acumulado a $0 en ese mes sin alterar el cálculo cuando no está definido); filtro Cuotas/Gastos normales en Historial; resumen de totales del mes (Ingresos/Gastos/Disponible) en Historial</w:t>
            </w:r>
          </w:p>
        </w:tc>
      </w:tr>
    </w:tbl>
    <w:p>
      <w:pPr>
        <w:spacing w:after="200" w:before="120"/>
      </w:pPr>
      <w:r>
        <w:rPr>
          <w:i/>
          <w:iCs/>
        </w:rPr>
        <w:t xml:space="preserve">Nota: el hash de los commits de las Tandas G, H y L quedó pendiente de registrar en esta sesión de chat — al empezar el Día 7, correr git log --oneline -20 para completarlos si hace falta.</w:t>
      </w:r>
    </w:p>
    <w:p>
      <w:pPr>
        <w:pStyle w:val="Heading1"/>
        <w:spacing w:after="160" w:before="360"/>
      </w:pPr>
      <w:r>
        <w:t xml:space="preserve">6. Próximos pasos — para empezar mañana (Día 7) en un chat nuevo</w:t>
      </w:r>
    </w:p>
    <w:p>
      <w:pPr>
        <w:pStyle w:val="Heading2"/>
        <w:spacing w:after="120" w:before="280"/>
      </w:pPr>
      <w:r>
        <w:t xml:space="preserve">Con Claude</w:t>
      </w:r>
    </w:p>
    <w:p>
      <w:pPr>
        <w:pStyle w:val="ListParagraph"/>
        <w:numPr>
          <w:ilvl w:val="0"/>
          <w:numId w:val="1"/>
        </w:numPr>
        <w:spacing w:after="80"/>
      </w:pPr>
      <w:r>
        <w:t xml:space="preserve">Ejecutar la Tanda M (ya diseñada y con el prompt listo): fix de Cuotas Pagada/Activa real vs. asumida, toggle universal de reversión, totales dinámicos de Historial reubicados, campo Nombre con migración.</w:t>
      </w:r>
    </w:p>
    <w:p>
      <w:pPr>
        <w:pStyle w:val="ListParagraph"/>
        <w:numPr>
          <w:ilvl w:val="0"/>
          <w:numId w:val="1"/>
        </w:numPr>
        <w:spacing w:after="80"/>
      </w:pPr>
      <w:r>
        <w:t xml:space="preserve">Correr git log --oneline -20 y completar los hashes pendientes de la tabla de commits si se necesita para referencia.</w:t>
      </w:r>
    </w:p>
    <w:p>
      <w:pPr>
        <w:pStyle w:val="ListParagraph"/>
        <w:numPr>
          <w:ilvl w:val="0"/>
          <w:numId w:val="1"/>
        </w:numPr>
        <w:spacing w:after="80"/>
      </w:pPr>
      <w:r>
        <w:t xml:space="preserve">El usuario dio por cerrado el testing interno de la Etapa 1 sin correr el checklist general formal (iOS/Android, performance, offline) ni los días 16–20 del plan original — la migración real de la cuenta de la novia se tomó como validación suficiente. Vale la pena tenerlo presente si aparecen bugs de plataformas no probadas explícitamente (Android, por ejemplo, no se verificó en ningún momento del Día 6).</w:t>
      </w:r>
    </w:p>
    <w:p>
      <w:pPr>
        <w:pStyle w:val="ListParagraph"/>
        <w:numPr>
          <w:ilvl w:val="0"/>
          <w:numId w:val="1"/>
        </w:numPr>
        <w:spacing w:after="80"/>
      </w:pPr>
      <w:r>
        <w:t xml:space="preserve">Con la Etapa 1 dada por cerrada, el siguiente hito grande del plan es la Etapa 2: validación externa con personas fuera de la pareja, y la decisión Go/No-Go antes de invertir en backend real y apps nativas.</w:t>
      </w:r>
    </w:p>
    <w:p>
      <w:pPr>
        <w:pStyle w:val="ListParagraph"/>
        <w:numPr>
          <w:ilvl w:val="0"/>
          <w:numId w:val="1"/>
        </w:numPr>
        <w:spacing w:after="80"/>
      </w:pPr>
      <w:r>
        <w:t xml:space="preserve">Pendiente de evaluar en su propia tanda, sin apurar: login con cuenta de Google (mencionado por el usuario tras eliminar el PIN).</w:t>
      </w:r>
    </w:p>
    <w:p>
      <w:pPr>
        <w:pStyle w:val="Heading2"/>
        <w:spacing w:after="120" w:before="280"/>
      </w:pPr>
      <w:r>
        <w:t xml:space="preserve">Con Claude Code (nuevo chat, mismo criterio de tandas chicas)</w:t>
      </w:r>
    </w:p>
    <w:p>
      <w:pPr>
        <w:pStyle w:val="ListParagraph"/>
        <w:numPr>
          <w:ilvl w:val="0"/>
          <w:numId w:val="1"/>
        </w:numPr>
        <w:spacing w:after="80"/>
      </w:pPr>
      <w:r>
        <w:t xml:space="preserve">Ninguna tarea nueva de código hasta correr la Tanda M.</w:t>
      </w:r>
    </w:p>
    <w:p>
      <w:pPr>
        <w:pStyle w:val="ListParagraph"/>
        <w:numPr>
          <w:ilvl w:val="0"/>
          <w:numId w:val="1"/>
        </w:numPr>
        <w:spacing w:after="80"/>
      </w:pPr>
      <w:r>
        <w:t xml:space="preserve">Recordatorio de flujo ya afiatado: cada tanda termina con git add -A → git commit -m '...' → git push origin main → esperar 1-3 min → verificar en https://srcarlos01.github.io/MisFinanzas/ con Ctrl+F5.</w:t>
      </w:r>
    </w:p>
    <w:p>
      <w:pPr>
        <w:pStyle w:val="Heading2"/>
        <w:spacing w:after="120" w:before="280"/>
      </w:pPr>
      <w:r>
        <w:t xml:space="preserve">Nota de método para el Día 7</w:t>
      </w:r>
    </w:p>
    <w:p>
      <w:pPr>
        <w:spacing w:after="200" w:before="120"/>
      </w:pPr>
      <w:r>
        <w:rPr>
          <w:i/>
          <w:iCs/>
        </w:rPr>
        <w:t xml:space="preserve">El patrón que mejor funcionó el Día 6 fue diagnosticar con evidencia real (capturas, respaldos, números concretos) antes de proponer un prompt de corrección, especialmente en la zona de Disponible/Cuotas — que ya lleva tres rondas de bugs entre el Día 4 y el Día 6. Vale la pena mantener esa disciplina en la Tanda M y en cualquier cambio futuro que toque esa zona.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2026-09-02T15:04:19.927Z</dcterms:created>
  <dcterms:modified xsi:type="dcterms:W3CDTF">2026-09-02T15:04:19.939Z</dcterms:modified>
</cp:coreProperties>
</file>

<file path=docProps/custom.xml><?xml version="1.0" encoding="utf-8"?>
<Properties xmlns="http://schemas.openxmlformats.org/officeDocument/2006/custom-properties" xmlns:vt="http://schemas.openxmlformats.org/officeDocument/2006/docPropsVTypes"/>
</file>