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MisFinanzas</w:t>
      </w:r>
    </w:p>
    <w:p>
      <w:pPr>
        <w:spacing w:after="320"/>
      </w:pPr>
      <w:r>
        <w:rPr>
          <w:i/>
          <w:iCs/>
          <w:color w:val="666666"/>
          <w:sz w:val="22"/>
          <w:szCs w:val="22"/>
        </w:rPr>
        <w:t xml:space="preserve">Resumen del día — 4 de septiembre de 2026 (Día 8 del Plan de Acción)</w:t>
      </w:r>
    </w:p>
    <w:p>
      <w:pPr>
        <w:pStyle w:val="Heading1"/>
        <w:spacing w:after="160" w:before="320"/>
      </w:pPr>
      <w:r>
        <w:t xml:space="preserve">1. Contexto de la sesión</w:t>
      </w:r>
    </w:p>
    <w:p>
      <w:pPr>
        <w:spacing w:after="160"/>
      </w:pPr>
      <w:r>
        <w:t xml:space="preserve">El Día 8 arrancó con dos entradas distintas: la lista de mejoras P0/P1/P2/P3 preparada la noche anterior (orientada a blindaje de datos y pulido antes de la validación externa) y el Estudio Exhaustivo de producto, arquitectura y negocio, un documento de 41 hallazgos elaborado en paralelo en otro chat sobre el estado al cierre del Día 6. Ambos coincidían en el diagnóstico central — riesgo de pérdida de datos en iOS, cero pruebas automatizadas, dependencia externa vía cdnjs, sin onboarding — pero el Estudio añadió contexto de negocio (modelo de costos sin IA/OCR, validación de precio frágil, Ley 21.719, Sistema de Finanzas Abiertas) que no estaba en la lista original.</w:t>
      </w:r>
    </w:p>
    <w:p>
      <w:pPr>
        <w:spacing w:after="160"/>
      </w:pPr>
      <w:r>
        <w:t xml:space="preserve">El día se organizó en tandas ejecutadas con Claude Code, cada una con un objetivo acotado y, en varios casos, un paso de diagnóstico obligatorio antes de escribir código — método que resultó decisivo: dos de las tandas revelaron que un número que parecía sólido (la proyección de fin de mes, el arrastre entre meses) escondía un criterio de cálculo distinto al que se creía.</w:t>
      </w:r>
    </w:p>
    <w:p>
      <w:pPr>
        <w:pStyle w:val="Heading1"/>
        <w:spacing w:after="160" w:before="320"/>
      </w:pPr>
      <w:r>
        <w:t xml:space="preserve">2. Tanda Q — Blindaje de datos</w:t>
      </w:r>
    </w:p>
    <w:p>
      <w:pPr>
        <w:spacing w:after="160"/>
      </w:pPr>
      <w:r>
        <w:t xml:space="preserve">Objetivo: cerrar el riesgo de pérdida de datos antes de mostrar la app a testers externos. Comiteada como 3f53781.</w:t>
      </w:r>
    </w:p>
    <w:p>
      <w:pPr>
        <w:pStyle w:val="ListParagraph"/>
        <w:numPr>
          <w:ilvl w:val="0"/>
          <w:numId w:val="1"/>
        </w:numPr>
        <w:spacing w:after="100"/>
      </w:pPr>
      <w:r>
        <w:t xml:space="preserve">saveState() con try/catch, reversión al último JSON válido en memoria y aviso bloqueante con descarga inmediata de respaldo. Distingue almacenamiento lleno de almacenamiento bloqueado.</w:t>
      </w:r>
    </w:p>
    <w:p>
      <w:pPr>
        <w:pStyle w:val="ListParagraph"/>
        <w:numPr>
          <w:ilvl w:val="0"/>
          <w:numId w:val="1"/>
        </w:numPr>
        <w:spacing w:after="100"/>
      </w:pPr>
      <w:r>
        <w:t xml:space="preserve">navigator.storage.persist() al arrancar y aviso no bloqueante al superar el 80% de la cuota.</w:t>
      </w:r>
    </w:p>
    <w:p>
      <w:pPr>
        <w:pStyle w:val="ListParagraph"/>
        <w:numPr>
          <w:ilvl w:val="0"/>
          <w:numId w:val="1"/>
        </w:numPr>
        <w:spacing w:after="100"/>
      </w:pPr>
      <w:r>
        <w:t xml:space="preserve">Banner de instalación cuando la app corre en navegador y no en modo standalone, con instrucciones diferenciadas iOS/Android.</w:t>
      </w:r>
    </w:p>
    <w:p>
      <w:pPr>
        <w:pStyle w:val="ListParagraph"/>
        <w:numPr>
          <w:ilvl w:val="0"/>
          <w:numId w:val="1"/>
        </w:numPr>
        <w:spacing w:after="100"/>
      </w:pPr>
      <w:r>
        <w:t xml:space="preserve">Respaldo automático semanal posponible, con fecha centralizada actualizada desde todos los caminos de respaldo.</w:t>
      </w:r>
    </w:p>
    <w:p>
      <w:pPr>
        <w:pStyle w:val="ListParagraph"/>
        <w:numPr>
          <w:ilvl w:val="0"/>
          <w:numId w:val="1"/>
        </w:numPr>
        <w:spacing w:after="100"/>
      </w:pPr>
      <w:r>
        <w:t xml:space="preserve">XLSX autohospedada: se reemplazó cdnjs 0.18.5 (con CVEs conocidas) por SheetJS 0.20.3 servida localmente. Elimina la última dependencia externa del proyecto.</w:t>
      </w:r>
    </w:p>
    <w:p>
      <w:pPr>
        <w:pStyle w:val="ListParagraph"/>
        <w:numPr>
          <w:ilvl w:val="0"/>
          <w:numId w:val="1"/>
        </w:numPr>
        <w:spacing w:after="100"/>
      </w:pPr>
      <w:r>
        <w:t xml:space="preserve">Service Worker con precache cache-first y actualización controlada por el usuario (sin skipWaiting automático), para no dejar a nadie congelado en una versión vieja.</w:t>
      </w:r>
    </w:p>
    <w:p>
      <w:pPr>
        <w:spacing w:after="160"/>
      </w:pPr>
      <w:r>
        <w:t xml:space="preserve">Verificación en producción tras el push: la app abrió con normalidad, los números no se movieron, la exportación a Excel funcionó offline, y — verificada más tarde, tras el segundo deploy del día — la barra "Versión nueva disponible" del Service Worker apareció y actualizó correctamente. Los tres puntos de verificación pendientes de Q quedaron cerrados.</w:t>
      </w:r>
    </w:p>
    <w:p>
      <w:pPr>
        <w:spacing w:after="160"/>
      </w:pPr>
      <w:r>
        <w:t xml:space="preserve">De paso se corrigió un descuido de higiene: .claude/launch.json (configuración local del servidor de pruebas) se había subido al repositorio por error; se sacó del tracking y se agregó .claude/ al .gitignore — con un traspié adicional por la codificación UTF-16 que deja Add-Content en PowerShell, resuelto reescribiendo el archivo en UTF-8.</w:t>
      </w:r>
    </w:p>
    <w:p>
      <w:pPr>
        <w:pStyle w:val="Heading1"/>
        <w:spacing w:after="160" w:before="320"/>
      </w:pPr>
      <w:r>
        <w:t xml:space="preserve">3. Tanda R — Auditoría de la tarjeta de Resumen</w:t>
      </w:r>
    </w:p>
    <w:p>
      <w:pPr>
        <w:spacing w:after="160"/>
      </w:pPr>
      <w:r>
        <w:t xml:space="preserve">Esta fue la tanda central del día, y la que más se ramificó. Partió de una captura real del 3 de septiembre que mostraba una proyección de −$1.075.176 en rojo, y de la constatación de que la comparación mes a mes usaba un criterio de "Disponible" distinto al de la tarjeta principal ($204.141 de diferencia entre dos cifras con el mismo nombre en la misma pantalla).</w:t>
      </w:r>
    </w:p>
    <w:p>
      <w:pPr>
        <w:pStyle w:val="Heading2"/>
        <w:spacing w:after="120" w:before="240"/>
      </w:pPr>
      <w:r>
        <w:t xml:space="preserve">3.1 Diagnóstico previo</w:t>
      </w:r>
    </w:p>
    <w:p>
      <w:pPr>
        <w:spacing w:after="160"/>
      </w:pPr>
      <w:r>
        <w:t xml:space="preserve">Antes de escribir código, se pidieron dos diagnósticos puros:</w:t>
      </w:r>
    </w:p>
    <w:p>
      <w:pPr>
        <w:pStyle w:val="ListParagraph"/>
        <w:numPr>
          <w:ilvl w:val="0"/>
          <w:numId w:val="1"/>
        </w:numPr>
        <w:spacing w:after="100"/>
      </w:pPr>
      <w:r>
        <w:t xml:space="preserve">El "$172.712 ya realizado" de la proyección resultó ser un tercer criterio de cálculo (día del mes ≤ hoy, sin mirar si la cuota estaba confirmada), distinto de los otros dos que se habían estado barajando ($115.145 contado sin filtro; $165.145 contado + cuotas confirmadas). Quedó identificado y sin corregir.</w:t>
      </w:r>
    </w:p>
    <w:p>
      <w:pPr>
        <w:pStyle w:val="ListParagraph"/>
        <w:numPr>
          <w:ilvl w:val="0"/>
          <w:numId w:val="1"/>
        </w:numPr>
        <w:spacing w:after="100"/>
      </w:pPr>
      <w:r>
        <w:t xml:space="preserve">El Disponible de la tarjeta principal resultó tener cinco términos reales, no tres: saldo anterior, ingresos, contado, cuotas pagadas y aportes a metas — estos últimos dos invisibles en pantalla porque valían $0. Se confirmó que los aportes a metas sí se descuentan del Disponible.</w:t>
      </w:r>
    </w:p>
    <w:p>
      <w:pPr>
        <w:pStyle w:val="Heading2"/>
        <w:spacing w:after="120" w:before="240"/>
      </w:pPr>
      <w:r>
        <w:t xml:space="preserve">3.2 Tanda R — implementación</w:t>
      </w:r>
    </w:p>
    <w:p>
      <w:pPr>
        <w:spacing w:after="160"/>
      </w:pPr>
      <w:r>
        <w:t xml:space="preserve">Comiteada como 5c14cd4 (ajustada luego en R2).</w:t>
      </w:r>
    </w:p>
    <w:p>
      <w:pPr>
        <w:pStyle w:val="ListParagraph"/>
        <w:numPr>
          <w:ilvl w:val="0"/>
          <w:numId w:val="1"/>
        </w:numPr>
        <w:spacing w:after="100"/>
      </w:pPr>
      <w:r>
        <w:t xml:space="preserve">Desglose auditable derivado de una función única (desgloseDisponible()), que recorre los términos reales del cálculo en vez de replicarlos a mano.</w:t>
      </w:r>
    </w:p>
    <w:p>
      <w:pPr>
        <w:pStyle w:val="ListParagraph"/>
        <w:numPr>
          <w:ilvl w:val="0"/>
          <w:numId w:val="1"/>
        </w:numPr>
        <w:spacing w:after="100"/>
      </w:pPr>
      <w:r>
        <w:t xml:space="preserve">Dona SVG de gastos por categoría (top 5 + Otros), coherente en color con la lista de categorías existente.</w:t>
      </w:r>
    </w:p>
    <w:p>
      <w:pPr>
        <w:pStyle w:val="ListParagraph"/>
        <w:numPr>
          <w:ilvl w:val="0"/>
          <w:numId w:val="1"/>
        </w:numPr>
        <w:spacing w:after="100"/>
      </w:pPr>
      <w:r>
        <w:t xml:space="preserve">Línea "Pagadas" bajo el indicador Cuotas, pieza que hace seguible el desglose.</w:t>
      </w:r>
    </w:p>
    <w:p>
      <w:pPr>
        <w:pStyle w:val="ListParagraph"/>
        <w:numPr>
          <w:ilvl w:val="0"/>
          <w:numId w:val="1"/>
        </w:numPr>
        <w:spacing w:after="100"/>
      </w:pPr>
      <w:r>
        <w:t xml:space="preserve">Botón Detalle con Top 3 por indicador (Ingresos, Gastos, Cuotas, Metas), colapsado por defecto.</w:t>
      </w:r>
    </w:p>
    <w:p>
      <w:pPr>
        <w:pStyle w:val="ListParagraph"/>
        <w:numPr>
          <w:ilvl w:val="0"/>
          <w:numId w:val="1"/>
        </w:numPr>
        <w:spacing w:after="100"/>
      </w:pPr>
      <w:r>
        <w:t xml:space="preserve">La comparación mes a mes pasó a usar el mismo Disponible que la tarjeta principal en ambos meses.</w:t>
      </w:r>
    </w:p>
    <w:p>
      <w:pPr>
        <w:pStyle w:val="ListParagraph"/>
        <w:numPr>
          <w:ilvl w:val="0"/>
          <w:numId w:val="1"/>
        </w:numPr>
        <w:spacing w:after="100"/>
      </w:pPr>
      <w:r>
        <w:t xml:space="preserve">marcarCuotaPagada/marcarCuotaActiva pasaron de renderCuotas() a renderAll(), así que mover una cuota entre activa y pagada ahora se refleja de inmediato en todo el Resumen, en los dos sentidos — verificado en vivo con reversión byte a byte.</w:t>
      </w:r>
    </w:p>
    <w:p>
      <w:pPr>
        <w:pStyle w:val="Heading2"/>
        <w:spacing w:after="120" w:before="240"/>
      </w:pPr>
      <w:r>
        <w:t xml:space="preserve">3.3 El diagnóstico que cambió el enfoque: la asimetría del arrastre</w:t>
      </w:r>
    </w:p>
    <w:p>
      <w:pPr>
        <w:spacing w:after="160"/>
      </w:pPr>
      <w:r>
        <w:t xml:space="preserve">Revisando capturas de Cuotas se detectaron compras de junio y julio de 2026 todavía en "Activas" pese a estar vencidas. Eso llevó a preguntar algo que no se había mirado: ¿el arrastre de saldo entre meses (saldoAcumuladoHasta()) descuenta todas las cuotas de esos meses, o solo las confirmadas?</w:t>
      </w:r>
    </w:p>
    <w:p>
      <w:pPr>
        <w:spacing w:after="160"/>
      </w:pPr>
      <w:r>
        <w:t xml:space="preserve">El diagnóstico (con el respaldo JSON real, no con datos sintéticos) confirmó: el arrastre siempre descontó todas las cuotas, confirmadas o no. La asimetría real estaba en otro lugar — dispLibre (el término que sí distingue confirmadas de pendientes) reincorporaba las cuotas pendientes también en meses ya cerrados, donde ya no tiene sentido: el mes terminó y la cuota venció, no queda nada por pagar en ese mes.</w:t>
      </w:r>
    </w:p>
    <w:p>
      <w:pPr>
        <w:spacing w:after="160"/>
      </w:pPr>
      <w:r>
        <w:t xml:space="preserve">De paso se resolvió una duda aparte sobre los montos: las diferencias entre el precio mencionado en el nombre de una compra ("Botas exotica. 153mil real") y el monto real de las cuotas ($168.000) correspondían a interés de tarjeta de crédito registrado a propósito, no a un error del motor de reparto en cuotas — verificado revisando los formularios originales.</w:t>
      </w:r>
    </w:p>
    <w:p>
      <w:pPr>
        <w:pStyle w:val="Heading2"/>
        <w:spacing w:after="120" w:before="240"/>
      </w:pPr>
      <w:r>
        <w:t xml:space="preserve">3.4 Tanda R3 — corrección de la asimetría</w:t>
      </w:r>
    </w:p>
    <w:p>
      <w:pPr>
        <w:spacing w:after="160"/>
      </w:pPr>
      <w:r>
        <w:t xml:space="preserve">Comiteada como 77a48d1, sin cambios al modelo de datos ni migración.</w:t>
      </w:r>
    </w:p>
    <w:p>
      <w:pPr>
        <w:pStyle w:val="ListParagraph"/>
        <w:numPr>
          <w:ilvl w:val="0"/>
          <w:numId w:val="1"/>
        </w:numPr>
        <w:spacing w:after="100"/>
      </w:pPr>
      <w:r>
        <w:t xml:space="preserve">dispLibre reincorpora cuotas pendientes solo en el mes en curso y en meses futuros, nunca en meses ya cerrados.</w:t>
      </w:r>
    </w:p>
    <w:p>
      <w:pPr>
        <w:pStyle w:val="ListParagraph"/>
        <w:numPr>
          <w:ilvl w:val="0"/>
          <w:numId w:val="1"/>
        </w:numPr>
        <w:spacing w:after="100"/>
      </w:pPr>
      <w:r>
        <w:t xml:space="preserve">En meses cerrados, "Cuotas pendientes" dejó de mostrarse en rojo como alerta y pasó a ser una nota gris informativa: esas cuotas ya cuentan como gasto del mes.</w:t>
      </w:r>
    </w:p>
    <w:p>
      <w:pPr>
        <w:pStyle w:val="ListParagraph"/>
        <w:numPr>
          <w:ilvl w:val="0"/>
          <w:numId w:val="1"/>
        </w:numPr>
        <w:spacing w:after="100"/>
      </w:pPr>
      <w:r>
        <w:t xml:space="preserve">Aviso al abrir la app en un mes nuevo si el mes recién cerrado dejó cuotas sin confirmar, con acción para revisarlas — sin marcar nada por su cuenta.</w:t>
      </w:r>
    </w:p>
    <w:p>
      <w:pPr>
        <w:pStyle w:val="ListParagraph"/>
        <w:numPr>
          <w:ilvl w:val="0"/>
          <w:numId w:val="1"/>
        </w:numPr>
        <w:spacing w:after="100"/>
      </w:pPr>
      <w:r>
        <w:t xml:space="preserve">Meses anteriores al inicio de registro (junio, julio) ocultan el saldo anterior y quedan fuera de la comparación mes a mes.</w:t>
      </w:r>
    </w:p>
    <w:p>
      <w:pPr>
        <w:spacing w:after="160"/>
      </w:pPr>
      <w:r>
        <w:t xml:space="preserve">Verificado contra el respaldo real: el arrastre a septiembre se mantuvo en $204.141 sin moverse; agosto y septiembre quedaron idénticos; junio pasó de $0 a −$86.200 y julio de −$86.200 a −$214.900, que es lo que esos meses realmente aportaron al arrastre. Se detectaron dos bugs preexistentes, señalados y no corregidos: renderResumenImg ("guardar como imagen") calcula el Disponible con un criterio propio que aún difiere en el mes en curso, y money() antepone el signo como "$-214.900" en vez de "-$214.900".</w:t>
      </w:r>
    </w:p>
    <w:p>
      <w:pPr>
        <w:pStyle w:val="Heading2"/>
        <w:spacing w:after="120" w:before="240"/>
      </w:pPr>
      <w:r>
        <w:t xml:space="preserve">3.5 Tanda R2 — reordenamiento visual</w:t>
      </w:r>
    </w:p>
    <w:p>
      <w:pPr>
        <w:spacing w:after="160"/>
      </w:pPr>
      <w:r>
        <w:t xml:space="preserve">Comiteada tras confirmar que el tema café visible en las capturas era un cambio intencional del usuario, no un efecto colateral de las tandas anteriores.</w:t>
      </w:r>
    </w:p>
    <w:p>
      <w:pPr>
        <w:pStyle w:val="ListParagraph"/>
        <w:numPr>
          <w:ilvl w:val="0"/>
          <w:numId w:val="1"/>
        </w:numPr>
        <w:spacing w:after="100"/>
      </w:pPr>
      <w:r>
        <w:t xml:space="preserve">Título de la tarjeta simplificado de "Disponible este mes" a "Disponible".</w:t>
      </w:r>
    </w:p>
    <w:p>
      <w:pPr>
        <w:pStyle w:val="ListParagraph"/>
        <w:numPr>
          <w:ilvl w:val="0"/>
          <w:numId w:val="1"/>
        </w:numPr>
        <w:spacing w:after="100"/>
      </w:pPr>
      <w:r>
        <w:t xml:space="preserve">Nuevo orden: cifra grande → enlace "¿De dónde sale?" → Saldo mes anterior / Cuotas pendientes → indicadores → Detalle.</w:t>
      </w:r>
    </w:p>
    <w:p>
      <w:pPr>
        <w:pStyle w:val="ListParagraph"/>
        <w:numPr>
          <w:ilvl w:val="0"/>
          <w:numId w:val="1"/>
        </w:numPr>
        <w:spacing w:after="100"/>
      </w:pPr>
      <w:r>
        <w:t xml:space="preserve">Etiquetas simétricas: "Saldo mes anterior +$204.141 INCLUIDO" y "Cuotas pendientes −$221.967 NO DESCONTADO", mismo formato en ambas.</w:t>
      </w:r>
    </w:p>
    <w:p>
      <w:pPr>
        <w:pStyle w:val="ListParagraph"/>
        <w:numPr>
          <w:ilvl w:val="0"/>
          <w:numId w:val="1"/>
        </w:numPr>
        <w:spacing w:after="100"/>
      </w:pPr>
      <w:r>
        <w:t xml:space="preserve">Hoja emergente "¿De dónde sale?" con los cinco términos siempre visibles, incluidos los que valen $0, reutilizando el componente de sheet existente y heredando el fix de tamaño de letra de la Tanda N.</w:t>
      </w:r>
    </w:p>
    <w:p>
      <w:pPr>
        <w:pStyle w:val="ListParagraph"/>
        <w:numPr>
          <w:ilvl w:val="0"/>
          <w:numId w:val="1"/>
        </w:numPr>
        <w:spacing w:after="100"/>
      </w:pPr>
      <w:r>
        <w:t xml:space="preserve">El enlace no aparece en meses previos al inicio de registro, coherente con que esos meses ya ocultan el resto del contexto.</w:t>
      </w:r>
    </w:p>
    <w:p>
      <w:pPr>
        <w:pStyle w:val="Heading1"/>
        <w:spacing w:after="160" w:before="320"/>
      </w:pPr>
      <w:r>
        <w:t xml:space="preserve">4. Pendiente sin ejecutar al cierre del día</w:t>
      </w:r>
    </w:p>
    <w:p>
      <w:pPr>
        <w:spacing w:after="160"/>
      </w:pPr>
      <w:r>
        <w:t xml:space="preserve">Tres tandas quedaron especificadas y listas para lanzar, pero no se alcanzaron a correr:</w:t>
      </w:r>
    </w:p>
    <w:p>
      <w:pPr>
        <w:pStyle w:val="ListParagraph"/>
        <w:numPr>
          <w:ilvl w:val="0"/>
          <w:numId w:val="1"/>
        </w:numPr>
        <w:spacing w:after="100"/>
      </w:pPr>
      <w:r>
        <w:t xml:space="preserve">R4 — ajustes finales de la tarjeta: quitar el hipervínculo de "Saldo mes anterior", agrupar visualmente el bloque de contexto acercándolo al enlace "¿De dónde sale?", y resaltar (tamaño y negrita) los labels de la fila de indicadores. Incluye además el guardarraíl de la proyección de Insights: hoy, con septiembre en $0 de ingresos, el carrusel sigue anunciando una proyección de sobregasto (−$820.263 en la última captura) sin considerar que probablemente falta registrar el sueldo del mes, extrapolando además el gasto variable a partir de días atípicos del inicio de mes.</w:t>
      </w:r>
    </w:p>
    <w:p>
      <w:pPr>
        <w:pStyle w:val="ListParagraph"/>
        <w:numPr>
          <w:ilvl w:val="0"/>
          <w:numId w:val="1"/>
        </w:numPr>
        <w:spacing w:after="100"/>
      </w:pPr>
      <w:r>
        <w:t xml:space="preserve">S — confirmación de dos pasos al eliminar un gasto o ingreso (con caso especial para compras a crédito, que arrastran cuotas futuras), aviso de cuota terminada, corrección del signo en montos negativos (money()), y arreglo del solape entre la cifra grande y la dona a tamaño de letra "Muy grande", detectado durante R2.</w:t>
      </w:r>
    </w:p>
    <w:p>
      <w:pPr>
        <w:spacing w:after="160"/>
      </w:pPr>
      <w:r>
        <w:t xml:space="preserve">Ninguna de las tres toca cálculos ya verificados; las tres pueden lanzarse directamente al iniciar el Día 9.</w:t>
      </w:r>
    </w:p>
    <w:p>
      <w:pPr>
        <w:pStyle w:val="Heading1"/>
        <w:spacing w:after="160" w:before="320"/>
      </w:pPr>
      <w:r>
        <w:t xml:space="preserve">5. Decisión de diseño que quedó pendiente</w:t>
      </w:r>
    </w:p>
    <w:p>
      <w:pPr>
        <w:spacing w:after="160"/>
      </w:pPr>
      <w:r>
        <w:t xml:space="preserve">Se identificó, pero no se resolvió, una pregunta de producto: ¿qué significa una cuota vencida que el usuario nunca confirmó? Puede ser que se pagó y se olvidó marcar, o que efectivamente no se pagó — son escenarios opuestos y la app hoy no distingue. La solución acordada es preguntarlo en el Cierre de mes (F-B1 del Estudio Exhaustivo): al abrir el mes nuevo, si quedaron cuotas sin confirmar, la app pregunta directamente en vez de asumir. Encaja naturalmente con el motor de consejos y el onboarding, ambos programados para el Día 9.</w:t>
      </w:r>
    </w:p>
    <w:p>
      <w:pPr>
        <w:pStyle w:val="Heading1"/>
        <w:spacing w:after="160" w:before="320"/>
      </w:pPr>
      <w:r>
        <w:t xml:space="preserve">6. Para el Día 9</w:t>
      </w:r>
    </w:p>
    <w:p>
      <w:pPr>
        <w:pStyle w:val="ListParagraph"/>
        <w:numPr>
          <w:ilvl w:val="0"/>
          <w:numId w:val="1"/>
        </w:numPr>
        <w:spacing w:after="100"/>
      </w:pPr>
      <w:r>
        <w:t xml:space="preserve">Ejecutar R4 y S (detalladas arriba).</w:t>
      </w:r>
    </w:p>
    <w:p>
      <w:pPr>
        <w:pStyle w:val="ListParagraph"/>
        <w:numPr>
          <w:ilvl w:val="0"/>
          <w:numId w:val="1"/>
        </w:numPr>
        <w:spacing w:after="100"/>
      </w:pPr>
      <w:r>
        <w:t xml:space="preserve">Motor de consejos determinístico para Insights: cada consejo como número + acción + plazo, con guardarraíl de datos incompletos como regla de prioridad máxima.</w:t>
      </w:r>
    </w:p>
    <w:p>
      <w:pPr>
        <w:pStyle w:val="ListParagraph"/>
        <w:numPr>
          <w:ilvl w:val="0"/>
          <w:numId w:val="1"/>
        </w:numPr>
        <w:spacing w:after="100"/>
      </w:pPr>
      <w:r>
        <w:t xml:space="preserve">Onboarding de 90 segundos (P1 del Estudio): ingreso mensual → gastos fijos típicos → cuotas activas → una meta. Es la mejora con la evidencia más dura detrás — completar una acción significativa en la primera sesión duplica o triplica la retención a 30 días — y la única pieza de peso que no alcanzó a construirse en la Etapa 1.5 improvisada de hoy.</w:t>
      </w:r>
    </w:p>
    <w:p>
      <w:pPr>
        <w:pStyle w:val="ListParagraph"/>
        <w:numPr>
          <w:ilvl w:val="0"/>
          <w:numId w:val="1"/>
        </w:numPr>
        <w:spacing w:after="100"/>
      </w:pPr>
      <w:r>
        <w:t xml:space="preserve">Cierre de mes con la pregunta de cuotas sin confirmar, conectando el hallazgo de la sección 5.</w:t>
      </w:r>
    </w:p>
    <w:p>
      <w:pPr>
        <w:pStyle w:val="ListParagraph"/>
        <w:numPr>
          <w:ilvl w:val="0"/>
          <w:numId w:val="1"/>
        </w:numPr>
        <w:spacing w:after="100"/>
      </w:pPr>
      <w:r>
        <w:t xml:space="preserve">Decidir el alcance real de la Etapa 1.5: el Estudio la dimensiona en 8-10 días completos (incluyendo importación de cartola bancaria, que se recomienda dejar para después del Go/No-Go). Con Q y R cerradas, conviene revisar cuánto de esa ventana ya se cubrió y qué queda estrictamente antes de abrir la app a los 5-8 testers externos.</w:t>
      </w:r>
    </w:p>
    <w:p>
      <w:pPr>
        <w:pStyle w:val="ListParagraph"/>
        <w:numPr>
          <w:ilvl w:val="0"/>
          <w:numId w:val="1"/>
        </w:numPr>
        <w:spacing w:after="100"/>
      </w:pPr>
      <w:r>
        <w:t xml:space="preserve">Pendientes de logística que siguen sin iniciar desde el Día 7: reclutamiento de testers externos, link de pago (Flow/Webpay), y el nombre definitivo del producto — bloqueando dominio e identidad desde el 26 de agosto.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2026-09-04T15:37:23.629Z</dcterms:created>
  <dcterms:modified xsi:type="dcterms:W3CDTF">2026-09-04T15:37:23.642Z</dcterms:modified>
</cp:coreProperties>
</file>

<file path=docProps/custom.xml><?xml version="1.0" encoding="utf-8"?>
<Properties xmlns="http://schemas.openxmlformats.org/officeDocument/2006/custom-properties" xmlns:vt="http://schemas.openxmlformats.org/officeDocument/2006/docPropsVTypes"/>
</file>